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584262">
        <w:rPr>
          <w:rFonts w:ascii="Arial" w:hAnsi="Arial" w:cs="Arial"/>
          <w:color w:val="FF0000"/>
          <w:sz w:val="18"/>
        </w:rPr>
        <w:t>31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8D6145">
        <w:rPr>
          <w:rFonts w:ascii="Arial" w:hAnsi="Arial" w:cs="Arial"/>
          <w:b/>
          <w:bCs/>
          <w:color w:val="FF0000"/>
          <w:u w:val="single"/>
        </w:rPr>
        <w:t>Improvement / Repair</w:t>
      </w:r>
      <w:r w:rsidR="00584262" w:rsidRPr="00584262">
        <w:rPr>
          <w:rFonts w:ascii="Arial" w:eastAsia="Times New Roman" w:hAnsi="Arial" w:cs="Arial"/>
          <w:b/>
          <w:color w:val="FF0000"/>
          <w:u w:val="single"/>
        </w:rPr>
        <w:t xml:space="preserve"> of Black Top Road at Liaqat Kiryana to Qazi M Hashim Sand House</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A66B14"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C0C5B"/>
    <w:rsid w:val="001E7305"/>
    <w:rsid w:val="00214EBB"/>
    <w:rsid w:val="002F7B73"/>
    <w:rsid w:val="00334C40"/>
    <w:rsid w:val="00345B55"/>
    <w:rsid w:val="003B0CEB"/>
    <w:rsid w:val="00423F2F"/>
    <w:rsid w:val="00437EB0"/>
    <w:rsid w:val="004902FA"/>
    <w:rsid w:val="00502246"/>
    <w:rsid w:val="00515132"/>
    <w:rsid w:val="00552094"/>
    <w:rsid w:val="00584262"/>
    <w:rsid w:val="005936E6"/>
    <w:rsid w:val="0063349F"/>
    <w:rsid w:val="007B7E1E"/>
    <w:rsid w:val="00810D17"/>
    <w:rsid w:val="0081234E"/>
    <w:rsid w:val="0082544D"/>
    <w:rsid w:val="008600E6"/>
    <w:rsid w:val="00870E5D"/>
    <w:rsid w:val="008D566D"/>
    <w:rsid w:val="008D6145"/>
    <w:rsid w:val="009C153C"/>
    <w:rsid w:val="009F7A4D"/>
    <w:rsid w:val="00A44A14"/>
    <w:rsid w:val="00A66B14"/>
    <w:rsid w:val="00A95CB4"/>
    <w:rsid w:val="00BE4113"/>
    <w:rsid w:val="00BE5576"/>
    <w:rsid w:val="00C646A2"/>
    <w:rsid w:val="00CA4D8F"/>
    <w:rsid w:val="00CD4AB8"/>
    <w:rsid w:val="00D05B06"/>
    <w:rsid w:val="00D46AC3"/>
    <w:rsid w:val="00DD0A32"/>
    <w:rsid w:val="00E00882"/>
    <w:rsid w:val="00E41524"/>
    <w:rsid w:val="00E7712D"/>
    <w:rsid w:val="00E876DD"/>
    <w:rsid w:val="00EE0840"/>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2742</Words>
  <Characters>15632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2018-01-09T23:55:00Z</dcterms:modified>
</cp:coreProperties>
</file>