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Spec="right" w:tblpY="1"/>
        <w:tblOverlap w:val="never"/>
        <w:tblW w:w="7912" w:type="dxa"/>
        <w:tblLook w:val="01E0" w:firstRow="1" w:lastRow="1" w:firstColumn="1" w:lastColumn="1" w:noHBand="0" w:noVBand="0"/>
      </w:tblPr>
      <w:tblGrid>
        <w:gridCol w:w="7912"/>
      </w:tblGrid>
      <w:tr w:rsidR="004E04DC" w:rsidRPr="00961E12" w:rsidTr="00FB23B5">
        <w:trPr>
          <w:trHeight w:val="799"/>
        </w:trPr>
        <w:tc>
          <w:tcPr>
            <w:tcW w:w="7912" w:type="dxa"/>
          </w:tcPr>
          <w:p w:rsidR="004E04DC" w:rsidRPr="007F783B" w:rsidRDefault="004E04DC" w:rsidP="00315715">
            <w:pPr>
              <w:jc w:val="right"/>
              <w:rPr>
                <w:rFonts w:ascii="Century Gothic" w:hAnsi="Century Gothic" w:cs="Arial"/>
                <w:b/>
              </w:rPr>
            </w:pPr>
            <w:bookmarkStart w:id="0" w:name="_GoBack"/>
            <w:bookmarkEnd w:id="0"/>
            <w:r w:rsidRPr="007F783B">
              <w:rPr>
                <w:rFonts w:ascii="Century Gothic" w:hAnsi="Century Gothic" w:cs="Arial"/>
                <w:b/>
                <w:sz w:val="22"/>
              </w:rPr>
              <w:t>SHAHEED MOHTARMA BENAZIR BHUTTO TOWNS</w:t>
            </w:r>
          </w:p>
          <w:p w:rsidR="004E04DC" w:rsidRPr="007F783B" w:rsidRDefault="004E04DC" w:rsidP="00315715">
            <w:pPr>
              <w:jc w:val="right"/>
              <w:rPr>
                <w:rFonts w:ascii="Century Gothic" w:hAnsi="Century Gothic" w:cs="Arial"/>
                <w:b/>
                <w:sz w:val="20"/>
              </w:rPr>
            </w:pPr>
            <w:r w:rsidRPr="007F783B">
              <w:rPr>
                <w:rFonts w:ascii="Century Gothic" w:hAnsi="Century Gothic" w:cs="Arial"/>
                <w:b/>
                <w:sz w:val="20"/>
              </w:rPr>
              <w:t>Apollo Centre</w:t>
            </w:r>
            <w:r>
              <w:rPr>
                <w:rFonts w:ascii="Century Gothic" w:hAnsi="Century Gothic" w:cs="Arial"/>
                <w:b/>
                <w:sz w:val="20"/>
              </w:rPr>
              <w:t>,</w:t>
            </w:r>
            <w:r w:rsidRPr="007F783B">
              <w:rPr>
                <w:rFonts w:ascii="Century Gothic" w:hAnsi="Century Gothic" w:cs="Arial"/>
                <w:b/>
                <w:sz w:val="20"/>
              </w:rPr>
              <w:t xml:space="preserve"> Near </w:t>
            </w:r>
            <w:proofErr w:type="spellStart"/>
            <w:r w:rsidRPr="007F783B">
              <w:rPr>
                <w:rFonts w:ascii="Century Gothic" w:hAnsi="Century Gothic" w:cs="Arial"/>
                <w:b/>
                <w:sz w:val="20"/>
              </w:rPr>
              <w:t>Bahria</w:t>
            </w:r>
            <w:proofErr w:type="spellEnd"/>
            <w:r w:rsidRPr="007F783B">
              <w:rPr>
                <w:rFonts w:ascii="Century Gothic" w:hAnsi="Century Gothic" w:cs="Arial"/>
                <w:b/>
                <w:sz w:val="20"/>
              </w:rPr>
              <w:t xml:space="preserve"> University, Stadium Road, Karachi</w:t>
            </w:r>
          </w:p>
          <w:p w:rsidR="004E04DC" w:rsidRPr="00961E12" w:rsidRDefault="004E04DC" w:rsidP="00315715">
            <w:pPr>
              <w:jc w:val="right"/>
              <w:rPr>
                <w:rFonts w:ascii="Bookman Old Style" w:hAnsi="Bookman Old Style"/>
              </w:rPr>
            </w:pPr>
            <w:r w:rsidRPr="007F783B">
              <w:rPr>
                <w:rFonts w:ascii="Century Gothic" w:hAnsi="Century Gothic" w:cs="Arial"/>
                <w:b/>
                <w:sz w:val="20"/>
              </w:rPr>
              <w:t>Phone # 021-99240255</w:t>
            </w:r>
          </w:p>
        </w:tc>
      </w:tr>
    </w:tbl>
    <w:p w:rsidR="00601A9B" w:rsidRPr="00B606FC" w:rsidRDefault="004E04DC" w:rsidP="004E04DC">
      <w:pPr>
        <w:jc w:val="both"/>
        <w:rPr>
          <w:rFonts w:ascii="Arial" w:hAnsi="Arial" w:cs="Arial"/>
          <w:sz w:val="6"/>
          <w:szCs w:val="22"/>
        </w:rPr>
      </w:pPr>
      <w:r>
        <w:rPr>
          <w:rFonts w:ascii="Arial" w:hAnsi="Arial" w:cs="Arial"/>
          <w:noProof/>
          <w:sz w:val="22"/>
          <w:szCs w:val="22"/>
        </w:rPr>
        <w:drawing>
          <wp:inline distT="0" distB="0" distL="0" distR="0">
            <wp:extent cx="877824" cy="627016"/>
            <wp:effectExtent l="0" t="0" r="0" b="1905"/>
            <wp:docPr id="2" name="Picture 2" descr="Logo of Government of Sindh Pakis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f Government of Sindh Pakistan"/>
                    <pic:cNvPicPr>
                      <a:picLocks noChangeAspect="1" noChangeArrowheads="1"/>
                    </pic:cNvPicPr>
                  </pic:nvPicPr>
                  <pic:blipFill>
                    <a:blip r:embed="rId9" cstate="print"/>
                    <a:srcRect/>
                    <a:stretch>
                      <a:fillRect/>
                    </a:stretch>
                  </pic:blipFill>
                  <pic:spPr bwMode="auto">
                    <a:xfrm>
                      <a:off x="0" y="0"/>
                      <a:ext cx="882162" cy="630115"/>
                    </a:xfrm>
                    <a:prstGeom prst="rect">
                      <a:avLst/>
                    </a:prstGeom>
                    <a:noFill/>
                    <a:ln w="9525">
                      <a:noFill/>
                      <a:miter lim="800000"/>
                      <a:headEnd/>
                      <a:tailEnd/>
                    </a:ln>
                  </pic:spPr>
                </pic:pic>
              </a:graphicData>
            </a:graphic>
          </wp:inline>
        </w:drawing>
      </w:r>
    </w:p>
    <w:p w:rsidR="00D0035D" w:rsidRPr="0038072D" w:rsidRDefault="00D0035D" w:rsidP="00D0035D">
      <w:pPr>
        <w:pStyle w:val="NoSpacing"/>
        <w:jc w:val="center"/>
        <w:rPr>
          <w:rFonts w:ascii="Arial Narrow" w:hAnsi="Arial Narrow"/>
          <w:b/>
          <w:sz w:val="16"/>
          <w:szCs w:val="16"/>
          <w:u w:val="single"/>
        </w:rPr>
      </w:pPr>
      <w:r w:rsidRPr="00292AA7">
        <w:rPr>
          <w:rFonts w:ascii="Arial Narrow" w:hAnsi="Arial Narrow"/>
          <w:b/>
          <w:sz w:val="20"/>
          <w:szCs w:val="16"/>
          <w:u w:val="single"/>
        </w:rPr>
        <w:t xml:space="preserve">NOTICE FOR INVITING </w:t>
      </w:r>
      <w:r w:rsidR="00E45233" w:rsidRPr="00292AA7">
        <w:rPr>
          <w:rFonts w:ascii="Arial Narrow" w:hAnsi="Arial Narrow"/>
          <w:b/>
          <w:sz w:val="20"/>
          <w:szCs w:val="16"/>
          <w:u w:val="single"/>
        </w:rPr>
        <w:t>BID</w:t>
      </w:r>
      <w:r w:rsidR="004B1F5D" w:rsidRPr="00292AA7">
        <w:rPr>
          <w:rFonts w:ascii="Arial Narrow" w:hAnsi="Arial Narrow"/>
          <w:b/>
          <w:sz w:val="20"/>
          <w:szCs w:val="16"/>
          <w:u w:val="single"/>
        </w:rPr>
        <w:t>S</w:t>
      </w:r>
      <w:r w:rsidR="00E45233" w:rsidRPr="00292AA7">
        <w:rPr>
          <w:rFonts w:ascii="Arial Narrow" w:hAnsi="Arial Narrow"/>
          <w:b/>
          <w:sz w:val="20"/>
          <w:szCs w:val="16"/>
          <w:u w:val="single"/>
        </w:rPr>
        <w:t>/TENDER</w:t>
      </w:r>
      <w:r w:rsidR="004B1F5D" w:rsidRPr="00292AA7">
        <w:rPr>
          <w:rFonts w:ascii="Arial Narrow" w:hAnsi="Arial Narrow"/>
          <w:b/>
          <w:sz w:val="20"/>
          <w:szCs w:val="16"/>
          <w:u w:val="single"/>
        </w:rPr>
        <w:t>S</w:t>
      </w:r>
    </w:p>
    <w:p w:rsidR="00D0035D" w:rsidRPr="00FB23B5" w:rsidRDefault="00D0035D" w:rsidP="00D0035D">
      <w:pPr>
        <w:pStyle w:val="NoSpacing"/>
        <w:jc w:val="center"/>
        <w:rPr>
          <w:rFonts w:ascii="Arial Narrow" w:hAnsi="Arial Narrow"/>
          <w:sz w:val="8"/>
          <w:szCs w:val="16"/>
          <w:u w:val="single"/>
        </w:rPr>
      </w:pPr>
    </w:p>
    <w:p w:rsidR="00D0035D" w:rsidRPr="0038072D" w:rsidRDefault="00523B16" w:rsidP="00F41CF9">
      <w:pPr>
        <w:pStyle w:val="NoSpacing"/>
        <w:jc w:val="both"/>
        <w:rPr>
          <w:rFonts w:ascii="Arial Narrow" w:hAnsi="Arial Narrow" w:cs="Arial"/>
          <w:sz w:val="16"/>
          <w:szCs w:val="16"/>
        </w:rPr>
      </w:pPr>
      <w:r w:rsidRPr="0038072D">
        <w:rPr>
          <w:rFonts w:ascii="Arial Narrow" w:hAnsi="Arial Narrow" w:cs="Arial"/>
          <w:sz w:val="16"/>
          <w:szCs w:val="16"/>
        </w:rPr>
        <w:t xml:space="preserve">The Project Directorate, </w:t>
      </w:r>
      <w:proofErr w:type="spellStart"/>
      <w:r w:rsidRPr="0038072D">
        <w:rPr>
          <w:rFonts w:ascii="Arial Narrow" w:hAnsi="Arial Narrow" w:cs="Arial"/>
          <w:sz w:val="16"/>
          <w:szCs w:val="16"/>
        </w:rPr>
        <w:t>Shaheed</w:t>
      </w:r>
      <w:proofErr w:type="spellEnd"/>
      <w:r w:rsidR="00B11E0F" w:rsidRPr="0038072D">
        <w:rPr>
          <w:rFonts w:ascii="Arial Narrow" w:hAnsi="Arial Narrow" w:cs="Arial"/>
          <w:sz w:val="16"/>
          <w:szCs w:val="16"/>
        </w:rPr>
        <w:t xml:space="preserve"> </w:t>
      </w:r>
      <w:proofErr w:type="spellStart"/>
      <w:r w:rsidRPr="0038072D">
        <w:rPr>
          <w:rFonts w:ascii="Arial Narrow" w:hAnsi="Arial Narrow" w:cs="Arial"/>
          <w:sz w:val="16"/>
          <w:szCs w:val="16"/>
        </w:rPr>
        <w:t>Mohtarma</w:t>
      </w:r>
      <w:proofErr w:type="spellEnd"/>
      <w:r w:rsidRPr="0038072D">
        <w:rPr>
          <w:rFonts w:ascii="Arial Narrow" w:hAnsi="Arial Narrow" w:cs="Arial"/>
          <w:sz w:val="16"/>
          <w:szCs w:val="16"/>
        </w:rPr>
        <w:t xml:space="preserve"> Benazir Bhutto Towns (the “Procuring Agency”) is inviting </w:t>
      </w:r>
      <w:r w:rsidR="00280D87" w:rsidRPr="0038072D">
        <w:rPr>
          <w:rFonts w:ascii="Arial Narrow" w:hAnsi="Arial Narrow" w:cs="Arial"/>
          <w:sz w:val="16"/>
          <w:szCs w:val="16"/>
        </w:rPr>
        <w:t>Sealed Bid/Tenders</w:t>
      </w:r>
      <w:r w:rsidR="00D22DBC" w:rsidRPr="0038072D">
        <w:rPr>
          <w:rFonts w:ascii="Arial Narrow" w:hAnsi="Arial Narrow" w:cs="Arial"/>
          <w:sz w:val="16"/>
          <w:szCs w:val="16"/>
        </w:rPr>
        <w:t xml:space="preserve"> on </w:t>
      </w:r>
      <w:r w:rsidR="00D314E4" w:rsidRPr="0038072D">
        <w:rPr>
          <w:rFonts w:ascii="Arial Narrow" w:hAnsi="Arial Narrow" w:cs="Arial"/>
          <w:sz w:val="16"/>
          <w:szCs w:val="16"/>
        </w:rPr>
        <w:t>Schedule Rate / Approved Rate / O</w:t>
      </w:r>
      <w:r w:rsidR="00A4078E" w:rsidRPr="0038072D">
        <w:rPr>
          <w:rFonts w:ascii="Arial Narrow" w:hAnsi="Arial Narrow" w:cs="Arial"/>
          <w:sz w:val="16"/>
          <w:szCs w:val="16"/>
        </w:rPr>
        <w:t xml:space="preserve">ffer </w:t>
      </w:r>
      <w:r w:rsidR="00D314E4" w:rsidRPr="0038072D">
        <w:rPr>
          <w:rFonts w:ascii="Arial Narrow" w:hAnsi="Arial Narrow" w:cs="Arial"/>
          <w:sz w:val="16"/>
          <w:szCs w:val="16"/>
        </w:rPr>
        <w:t>R</w:t>
      </w:r>
      <w:r w:rsidR="00A4078E" w:rsidRPr="0038072D">
        <w:rPr>
          <w:rFonts w:ascii="Arial Narrow" w:hAnsi="Arial Narrow" w:cs="Arial"/>
          <w:sz w:val="16"/>
          <w:szCs w:val="16"/>
        </w:rPr>
        <w:t xml:space="preserve">ate </w:t>
      </w:r>
      <w:r w:rsidR="00D314E4" w:rsidRPr="0038072D">
        <w:rPr>
          <w:rFonts w:ascii="Arial Narrow" w:hAnsi="Arial Narrow" w:cs="Arial"/>
          <w:sz w:val="16"/>
          <w:szCs w:val="16"/>
        </w:rPr>
        <w:t>B</w:t>
      </w:r>
      <w:r w:rsidR="00D22DBC" w:rsidRPr="0038072D">
        <w:rPr>
          <w:rFonts w:ascii="Arial Narrow" w:hAnsi="Arial Narrow" w:cs="Arial"/>
          <w:sz w:val="16"/>
          <w:szCs w:val="16"/>
        </w:rPr>
        <w:t>asis</w:t>
      </w:r>
      <w:r w:rsidR="00B11E0F" w:rsidRPr="0038072D">
        <w:rPr>
          <w:rFonts w:ascii="Arial Narrow" w:hAnsi="Arial Narrow" w:cs="Arial"/>
          <w:sz w:val="16"/>
          <w:szCs w:val="16"/>
        </w:rPr>
        <w:t xml:space="preserve"> </w:t>
      </w:r>
      <w:r w:rsidR="00280D87" w:rsidRPr="0038072D">
        <w:rPr>
          <w:rFonts w:ascii="Arial Narrow" w:hAnsi="Arial Narrow" w:cs="Arial"/>
          <w:sz w:val="16"/>
          <w:szCs w:val="16"/>
        </w:rPr>
        <w:t xml:space="preserve">are invited from </w:t>
      </w:r>
      <w:r w:rsidR="00D314E4" w:rsidRPr="0038072D">
        <w:rPr>
          <w:rFonts w:ascii="Arial Narrow" w:hAnsi="Arial Narrow" w:cs="Arial"/>
          <w:sz w:val="16"/>
          <w:szCs w:val="16"/>
        </w:rPr>
        <w:t>interested firms/</w:t>
      </w:r>
      <w:r w:rsidR="00280D87" w:rsidRPr="0038072D">
        <w:rPr>
          <w:rFonts w:ascii="Arial Narrow" w:hAnsi="Arial Narrow" w:cs="Arial"/>
          <w:sz w:val="16"/>
          <w:szCs w:val="16"/>
        </w:rPr>
        <w:t>contractors</w:t>
      </w:r>
      <w:r w:rsidR="00D314E4" w:rsidRPr="0038072D">
        <w:rPr>
          <w:rFonts w:ascii="Arial Narrow" w:hAnsi="Arial Narrow" w:cs="Arial"/>
          <w:sz w:val="16"/>
          <w:szCs w:val="16"/>
        </w:rPr>
        <w:t>/bidders</w:t>
      </w:r>
      <w:r w:rsidR="00280D87" w:rsidRPr="0038072D">
        <w:rPr>
          <w:rFonts w:ascii="Arial Narrow" w:hAnsi="Arial Narrow" w:cs="Arial"/>
          <w:sz w:val="16"/>
          <w:szCs w:val="16"/>
        </w:rPr>
        <w:t xml:space="preserve"> having valid registration with Pakistan Engineering Council (PEC) in the appropriate category to participate in the following works as per SPPRA Rules-2010</w:t>
      </w:r>
      <w:r w:rsidR="000D4016" w:rsidRPr="0038072D">
        <w:rPr>
          <w:rFonts w:ascii="Arial Narrow" w:hAnsi="Arial Narrow" w:cs="Arial"/>
          <w:sz w:val="16"/>
          <w:szCs w:val="16"/>
        </w:rPr>
        <w:t xml:space="preserve"> and Amended 2013</w:t>
      </w:r>
      <w:r w:rsidR="00F41CF9" w:rsidRPr="0038072D">
        <w:rPr>
          <w:rFonts w:ascii="Arial Narrow" w:hAnsi="Arial Narrow" w:cs="Arial"/>
          <w:sz w:val="16"/>
          <w:szCs w:val="16"/>
        </w:rPr>
        <w:t>.</w:t>
      </w:r>
    </w:p>
    <w:p w:rsidR="00F41CF9" w:rsidRPr="006B2532" w:rsidRDefault="00F41CF9" w:rsidP="00F41CF9">
      <w:pPr>
        <w:pStyle w:val="NoSpacing"/>
        <w:jc w:val="both"/>
        <w:rPr>
          <w:rFonts w:ascii="Arial Narrow" w:hAnsi="Arial Narrow" w:cs="Arial"/>
          <w:sz w:val="10"/>
          <w:szCs w:val="20"/>
        </w:rPr>
      </w:pPr>
    </w:p>
    <w:tbl>
      <w:tblPr>
        <w:tblStyle w:val="TableGrid"/>
        <w:tblW w:w="11007" w:type="dxa"/>
        <w:jc w:val="center"/>
        <w:tblInd w:w="651" w:type="dxa"/>
        <w:tblLayout w:type="fixed"/>
        <w:tblLook w:val="04A0" w:firstRow="1" w:lastRow="0" w:firstColumn="1" w:lastColumn="0" w:noHBand="0" w:noVBand="1"/>
      </w:tblPr>
      <w:tblGrid>
        <w:gridCol w:w="644"/>
        <w:gridCol w:w="3302"/>
        <w:gridCol w:w="1007"/>
        <w:gridCol w:w="1007"/>
        <w:gridCol w:w="840"/>
        <w:gridCol w:w="4207"/>
      </w:tblGrid>
      <w:tr w:rsidR="00897C23" w:rsidRPr="00E72F91" w:rsidTr="00897C23">
        <w:trPr>
          <w:trHeight w:val="361"/>
          <w:jc w:val="center"/>
        </w:trPr>
        <w:tc>
          <w:tcPr>
            <w:tcW w:w="644" w:type="dxa"/>
            <w:shd w:val="clear" w:color="auto" w:fill="D9D9D9" w:themeFill="background1" w:themeFillShade="D9"/>
            <w:vAlign w:val="center"/>
          </w:tcPr>
          <w:p w:rsidR="000D7031" w:rsidRPr="0038072D" w:rsidRDefault="000D7031" w:rsidP="00747A65">
            <w:pPr>
              <w:pStyle w:val="NoSpacing"/>
              <w:jc w:val="center"/>
              <w:rPr>
                <w:rFonts w:ascii="Arial Narrow" w:hAnsi="Arial Narrow" w:cs="Arial"/>
                <w:b/>
                <w:sz w:val="16"/>
                <w:szCs w:val="16"/>
              </w:rPr>
            </w:pPr>
            <w:r w:rsidRPr="0038072D">
              <w:rPr>
                <w:rFonts w:ascii="Arial Narrow" w:hAnsi="Arial Narrow" w:cs="Arial"/>
                <w:b/>
                <w:sz w:val="16"/>
                <w:szCs w:val="16"/>
              </w:rPr>
              <w:t>S</w:t>
            </w:r>
            <w:r w:rsidR="00B059ED" w:rsidRPr="0038072D">
              <w:rPr>
                <w:rFonts w:ascii="Arial Narrow" w:hAnsi="Arial Narrow" w:cs="Arial"/>
                <w:b/>
                <w:sz w:val="16"/>
                <w:szCs w:val="16"/>
              </w:rPr>
              <w:t>r</w:t>
            </w:r>
            <w:r w:rsidRPr="0038072D">
              <w:rPr>
                <w:rFonts w:ascii="Arial Narrow" w:hAnsi="Arial Narrow" w:cs="Arial"/>
                <w:b/>
                <w:sz w:val="16"/>
                <w:szCs w:val="16"/>
              </w:rPr>
              <w:t>.</w:t>
            </w:r>
            <w:r w:rsidR="00B059ED" w:rsidRPr="0038072D">
              <w:rPr>
                <w:rFonts w:ascii="Arial Narrow" w:hAnsi="Arial Narrow" w:cs="Arial"/>
                <w:b/>
                <w:sz w:val="16"/>
                <w:szCs w:val="16"/>
              </w:rPr>
              <w:t xml:space="preserve"> </w:t>
            </w:r>
            <w:r w:rsidRPr="0038072D">
              <w:rPr>
                <w:rFonts w:ascii="Arial Narrow" w:hAnsi="Arial Narrow" w:cs="Arial"/>
                <w:b/>
                <w:sz w:val="16"/>
                <w:szCs w:val="16"/>
              </w:rPr>
              <w:t>No.</w:t>
            </w:r>
          </w:p>
        </w:tc>
        <w:tc>
          <w:tcPr>
            <w:tcW w:w="3302" w:type="dxa"/>
            <w:shd w:val="clear" w:color="auto" w:fill="D9D9D9" w:themeFill="background1" w:themeFillShade="D9"/>
            <w:vAlign w:val="center"/>
          </w:tcPr>
          <w:p w:rsidR="000D7031" w:rsidRPr="0038072D" w:rsidRDefault="000D7031" w:rsidP="00747A65">
            <w:pPr>
              <w:pStyle w:val="NoSpacing"/>
              <w:jc w:val="center"/>
              <w:rPr>
                <w:rFonts w:ascii="Arial Narrow" w:hAnsi="Arial Narrow" w:cs="Arial"/>
                <w:b/>
                <w:sz w:val="16"/>
                <w:szCs w:val="16"/>
              </w:rPr>
            </w:pPr>
            <w:r w:rsidRPr="0038072D">
              <w:rPr>
                <w:rFonts w:ascii="Arial Narrow" w:hAnsi="Arial Narrow" w:cs="Arial"/>
                <w:b/>
                <w:sz w:val="16"/>
                <w:szCs w:val="16"/>
              </w:rPr>
              <w:t>Name of Work</w:t>
            </w:r>
          </w:p>
        </w:tc>
        <w:tc>
          <w:tcPr>
            <w:tcW w:w="1007" w:type="dxa"/>
            <w:shd w:val="clear" w:color="auto" w:fill="D9D9D9" w:themeFill="background1" w:themeFillShade="D9"/>
            <w:vAlign w:val="center"/>
          </w:tcPr>
          <w:p w:rsidR="000D7031" w:rsidRPr="0038072D" w:rsidRDefault="000D7031" w:rsidP="00C711E0">
            <w:pPr>
              <w:pStyle w:val="NoSpacing"/>
              <w:jc w:val="center"/>
              <w:rPr>
                <w:rFonts w:ascii="Arial Narrow" w:hAnsi="Arial Narrow" w:cs="Arial"/>
                <w:b/>
                <w:sz w:val="16"/>
                <w:szCs w:val="16"/>
              </w:rPr>
            </w:pPr>
            <w:r w:rsidRPr="0038072D">
              <w:rPr>
                <w:rFonts w:ascii="Arial Narrow" w:hAnsi="Arial Narrow" w:cs="Arial"/>
                <w:b/>
                <w:sz w:val="16"/>
                <w:szCs w:val="16"/>
              </w:rPr>
              <w:t>Estimated Cost (</w:t>
            </w:r>
            <w:r w:rsidR="00C711E0" w:rsidRPr="0038072D">
              <w:rPr>
                <w:rFonts w:ascii="Arial Narrow" w:hAnsi="Arial Narrow" w:cs="Arial"/>
                <w:b/>
                <w:sz w:val="16"/>
                <w:szCs w:val="16"/>
              </w:rPr>
              <w:t>M</w:t>
            </w:r>
            <w:r w:rsidRPr="0038072D">
              <w:rPr>
                <w:rFonts w:ascii="Arial Narrow" w:hAnsi="Arial Narrow" w:cs="Arial"/>
                <w:b/>
                <w:sz w:val="16"/>
                <w:szCs w:val="16"/>
              </w:rPr>
              <w:t>.)</w:t>
            </w:r>
          </w:p>
        </w:tc>
        <w:tc>
          <w:tcPr>
            <w:tcW w:w="1007" w:type="dxa"/>
            <w:shd w:val="clear" w:color="auto" w:fill="D9D9D9" w:themeFill="background1" w:themeFillShade="D9"/>
            <w:vAlign w:val="center"/>
          </w:tcPr>
          <w:p w:rsidR="000D7031" w:rsidRPr="0038072D" w:rsidRDefault="000D7031" w:rsidP="000D7031">
            <w:pPr>
              <w:pStyle w:val="NoSpacing"/>
              <w:jc w:val="center"/>
              <w:rPr>
                <w:rFonts w:ascii="Arial Narrow" w:hAnsi="Arial Narrow" w:cs="Arial"/>
                <w:b/>
                <w:sz w:val="16"/>
                <w:szCs w:val="16"/>
              </w:rPr>
            </w:pPr>
            <w:r w:rsidRPr="0038072D">
              <w:rPr>
                <w:rFonts w:ascii="Arial Narrow" w:hAnsi="Arial Narrow" w:cs="Arial"/>
                <w:b/>
                <w:sz w:val="16"/>
                <w:szCs w:val="16"/>
              </w:rPr>
              <w:t>Bid Security</w:t>
            </w:r>
          </w:p>
        </w:tc>
        <w:tc>
          <w:tcPr>
            <w:tcW w:w="840" w:type="dxa"/>
            <w:shd w:val="clear" w:color="auto" w:fill="D9D9D9" w:themeFill="background1" w:themeFillShade="D9"/>
            <w:vAlign w:val="center"/>
          </w:tcPr>
          <w:p w:rsidR="000D7031" w:rsidRPr="0038072D" w:rsidRDefault="000D7031" w:rsidP="000D7031">
            <w:pPr>
              <w:pStyle w:val="NoSpacing"/>
              <w:jc w:val="center"/>
              <w:rPr>
                <w:rFonts w:ascii="Arial Narrow" w:hAnsi="Arial Narrow" w:cs="Arial"/>
                <w:b/>
                <w:sz w:val="16"/>
                <w:szCs w:val="16"/>
              </w:rPr>
            </w:pPr>
            <w:r w:rsidRPr="0038072D">
              <w:rPr>
                <w:rFonts w:ascii="Arial Narrow" w:hAnsi="Arial Narrow" w:cs="Arial"/>
                <w:b/>
                <w:sz w:val="16"/>
                <w:szCs w:val="16"/>
              </w:rPr>
              <w:t xml:space="preserve">Tender Cost </w:t>
            </w:r>
            <w:proofErr w:type="spellStart"/>
            <w:r w:rsidRPr="0038072D">
              <w:rPr>
                <w:rFonts w:ascii="Arial Narrow" w:hAnsi="Arial Narrow" w:cs="Arial"/>
                <w:b/>
                <w:sz w:val="16"/>
                <w:szCs w:val="16"/>
              </w:rPr>
              <w:t>Rs</w:t>
            </w:r>
            <w:proofErr w:type="spellEnd"/>
            <w:r w:rsidRPr="0038072D">
              <w:rPr>
                <w:rFonts w:ascii="Arial Narrow" w:hAnsi="Arial Narrow" w:cs="Arial"/>
                <w:b/>
                <w:sz w:val="16"/>
                <w:szCs w:val="16"/>
              </w:rPr>
              <w:t>.</w:t>
            </w:r>
          </w:p>
        </w:tc>
        <w:tc>
          <w:tcPr>
            <w:tcW w:w="4207" w:type="dxa"/>
            <w:shd w:val="clear" w:color="auto" w:fill="D9D9D9" w:themeFill="background1" w:themeFillShade="D9"/>
            <w:vAlign w:val="center"/>
          </w:tcPr>
          <w:p w:rsidR="000D7031" w:rsidRPr="0038072D" w:rsidRDefault="000D7031" w:rsidP="00293AE7">
            <w:pPr>
              <w:pStyle w:val="NoSpacing"/>
              <w:jc w:val="center"/>
              <w:rPr>
                <w:rFonts w:ascii="Arial Narrow" w:hAnsi="Arial Narrow" w:cs="Arial"/>
                <w:b/>
                <w:sz w:val="16"/>
                <w:szCs w:val="16"/>
              </w:rPr>
            </w:pPr>
            <w:r w:rsidRPr="0038072D">
              <w:rPr>
                <w:rFonts w:ascii="Arial Narrow" w:hAnsi="Arial Narrow" w:cs="Arial"/>
                <w:b/>
                <w:sz w:val="16"/>
                <w:szCs w:val="16"/>
              </w:rPr>
              <w:t>Eligibility</w:t>
            </w:r>
          </w:p>
        </w:tc>
      </w:tr>
      <w:tr w:rsidR="00342650" w:rsidRPr="0038072D" w:rsidTr="00897C23">
        <w:trPr>
          <w:trHeight w:val="562"/>
          <w:jc w:val="center"/>
        </w:trPr>
        <w:tc>
          <w:tcPr>
            <w:tcW w:w="644" w:type="dxa"/>
            <w:vAlign w:val="center"/>
          </w:tcPr>
          <w:p w:rsidR="00342650" w:rsidRPr="0038072D" w:rsidRDefault="006108B5" w:rsidP="00A574DB">
            <w:pPr>
              <w:pStyle w:val="NoSpacing"/>
              <w:jc w:val="center"/>
              <w:rPr>
                <w:rFonts w:ascii="Arial Narrow" w:hAnsi="Arial Narrow" w:cs="Arial"/>
                <w:b/>
                <w:sz w:val="16"/>
                <w:szCs w:val="16"/>
              </w:rPr>
            </w:pPr>
            <w:r w:rsidRPr="0038072D">
              <w:rPr>
                <w:rFonts w:ascii="Arial Narrow" w:hAnsi="Arial Narrow" w:cs="Arial"/>
                <w:b/>
                <w:sz w:val="16"/>
                <w:szCs w:val="16"/>
              </w:rPr>
              <w:t>1</w:t>
            </w:r>
          </w:p>
        </w:tc>
        <w:tc>
          <w:tcPr>
            <w:tcW w:w="3302" w:type="dxa"/>
            <w:vAlign w:val="center"/>
          </w:tcPr>
          <w:p w:rsidR="00342650" w:rsidRPr="0038072D" w:rsidRDefault="00342650" w:rsidP="00A574DB">
            <w:pPr>
              <w:pStyle w:val="NoSpacing"/>
              <w:jc w:val="both"/>
              <w:rPr>
                <w:rFonts w:ascii="Arial Narrow" w:hAnsi="Arial Narrow" w:cs="Arial"/>
                <w:sz w:val="16"/>
                <w:szCs w:val="16"/>
              </w:rPr>
            </w:pPr>
            <w:r w:rsidRPr="0038072D">
              <w:rPr>
                <w:rFonts w:ascii="Arial Narrow" w:hAnsi="Arial Narrow" w:cs="Arial"/>
                <w:sz w:val="16"/>
                <w:szCs w:val="16"/>
              </w:rPr>
              <w:t>Internal Development works (Road, Water Supply &amp; Sewerage) at Benazir Town, Badin (Contract Package No. SMBBT/BDN/INF-001)</w:t>
            </w:r>
          </w:p>
        </w:tc>
        <w:tc>
          <w:tcPr>
            <w:tcW w:w="1007" w:type="dxa"/>
            <w:vAlign w:val="center"/>
          </w:tcPr>
          <w:p w:rsidR="00342650" w:rsidRPr="0038072D" w:rsidRDefault="00C711E0" w:rsidP="003D33EB">
            <w:pPr>
              <w:jc w:val="center"/>
              <w:rPr>
                <w:rFonts w:ascii="Arial Narrow" w:hAnsi="Arial Narrow" w:cs="Arial"/>
                <w:sz w:val="16"/>
                <w:szCs w:val="16"/>
              </w:rPr>
            </w:pPr>
            <w:r w:rsidRPr="0038072D">
              <w:rPr>
                <w:rFonts w:ascii="Arial Narrow" w:hAnsi="Arial Narrow" w:cs="Arial"/>
                <w:sz w:val="16"/>
                <w:szCs w:val="16"/>
              </w:rPr>
              <w:t>6</w:t>
            </w:r>
            <w:r w:rsidR="003D33EB" w:rsidRPr="0038072D">
              <w:rPr>
                <w:rFonts w:ascii="Arial Narrow" w:hAnsi="Arial Narrow" w:cs="Arial"/>
                <w:sz w:val="16"/>
                <w:szCs w:val="16"/>
              </w:rPr>
              <w:t>7</w:t>
            </w:r>
            <w:r w:rsidRPr="0038072D">
              <w:rPr>
                <w:rFonts w:ascii="Arial Narrow" w:hAnsi="Arial Narrow" w:cs="Arial"/>
                <w:sz w:val="16"/>
                <w:szCs w:val="16"/>
              </w:rPr>
              <w:t>.</w:t>
            </w:r>
            <w:r w:rsidR="003D33EB" w:rsidRPr="0038072D">
              <w:rPr>
                <w:rFonts w:ascii="Arial Narrow" w:hAnsi="Arial Narrow" w:cs="Arial"/>
                <w:sz w:val="16"/>
                <w:szCs w:val="16"/>
              </w:rPr>
              <w:t>030</w:t>
            </w:r>
          </w:p>
        </w:tc>
        <w:tc>
          <w:tcPr>
            <w:tcW w:w="1007" w:type="dxa"/>
            <w:vAlign w:val="center"/>
          </w:tcPr>
          <w:p w:rsidR="00342650" w:rsidRPr="0038072D" w:rsidRDefault="002460B2" w:rsidP="00A574DB">
            <w:pPr>
              <w:jc w:val="center"/>
              <w:rPr>
                <w:rFonts w:ascii="Arial Narrow" w:hAnsi="Arial Narrow"/>
                <w:sz w:val="16"/>
                <w:szCs w:val="16"/>
              </w:rPr>
            </w:pPr>
            <w:r w:rsidRPr="0038072D">
              <w:rPr>
                <w:rFonts w:ascii="Arial Narrow" w:hAnsi="Arial Narrow" w:cs="Arial"/>
                <w:sz w:val="16"/>
                <w:szCs w:val="16"/>
              </w:rPr>
              <w:t>2</w:t>
            </w:r>
            <w:r w:rsidR="00342650" w:rsidRPr="0038072D">
              <w:rPr>
                <w:rFonts w:ascii="Arial Narrow" w:hAnsi="Arial Narrow" w:cs="Arial"/>
                <w:sz w:val="16"/>
                <w:szCs w:val="16"/>
              </w:rPr>
              <w:t>% of quoted cost.</w:t>
            </w:r>
          </w:p>
        </w:tc>
        <w:tc>
          <w:tcPr>
            <w:tcW w:w="840" w:type="dxa"/>
            <w:vAlign w:val="center"/>
          </w:tcPr>
          <w:p w:rsidR="00342650" w:rsidRPr="0038072D" w:rsidRDefault="00342650" w:rsidP="00A574DB">
            <w:pPr>
              <w:pStyle w:val="NoSpacing"/>
              <w:jc w:val="center"/>
              <w:rPr>
                <w:rFonts w:ascii="Arial Narrow" w:hAnsi="Arial Narrow" w:cs="Arial"/>
                <w:sz w:val="16"/>
                <w:szCs w:val="16"/>
              </w:rPr>
            </w:pPr>
            <w:r w:rsidRPr="0038072D">
              <w:rPr>
                <w:rFonts w:ascii="Arial Narrow" w:hAnsi="Arial Narrow" w:cs="Arial"/>
                <w:sz w:val="16"/>
                <w:szCs w:val="16"/>
              </w:rPr>
              <w:t>3,000/-</w:t>
            </w:r>
          </w:p>
        </w:tc>
        <w:tc>
          <w:tcPr>
            <w:tcW w:w="4207" w:type="dxa"/>
          </w:tcPr>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Valid PEC Registered Contractor  C-4 and above, CE-01 &amp; CE-09</w:t>
            </w:r>
          </w:p>
          <w:p w:rsidR="00342650" w:rsidRPr="0038072D" w:rsidRDefault="00342650" w:rsidP="00A574DB">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NTN Certificate</w:t>
            </w:r>
          </w:p>
          <w:p w:rsidR="00342650" w:rsidRPr="0038072D" w:rsidRDefault="00342650" w:rsidP="00A574DB">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Valid Professional Tax</w:t>
            </w:r>
          </w:p>
          <w:p w:rsidR="00342650" w:rsidRPr="0038072D" w:rsidRDefault="00342650" w:rsidP="00A574DB">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Registration with Sindh Board of Revenue</w:t>
            </w:r>
          </w:p>
        </w:tc>
      </w:tr>
      <w:tr w:rsidR="00342650" w:rsidRPr="0038072D" w:rsidTr="00897C23">
        <w:trPr>
          <w:trHeight w:val="562"/>
          <w:jc w:val="center"/>
        </w:trPr>
        <w:tc>
          <w:tcPr>
            <w:tcW w:w="644" w:type="dxa"/>
            <w:vAlign w:val="center"/>
          </w:tcPr>
          <w:p w:rsidR="00342650" w:rsidRPr="0038072D" w:rsidRDefault="006108B5" w:rsidP="00A574DB">
            <w:pPr>
              <w:pStyle w:val="NoSpacing"/>
              <w:jc w:val="center"/>
              <w:rPr>
                <w:rFonts w:ascii="Arial Narrow" w:hAnsi="Arial Narrow" w:cs="Arial"/>
                <w:b/>
                <w:sz w:val="16"/>
                <w:szCs w:val="16"/>
              </w:rPr>
            </w:pPr>
            <w:r w:rsidRPr="0038072D">
              <w:rPr>
                <w:rFonts w:ascii="Arial Narrow" w:hAnsi="Arial Narrow" w:cs="Arial"/>
                <w:b/>
                <w:sz w:val="16"/>
                <w:szCs w:val="16"/>
              </w:rPr>
              <w:t>2</w:t>
            </w:r>
          </w:p>
        </w:tc>
        <w:tc>
          <w:tcPr>
            <w:tcW w:w="3302" w:type="dxa"/>
            <w:vAlign w:val="center"/>
          </w:tcPr>
          <w:p w:rsidR="00342650" w:rsidRPr="0038072D" w:rsidRDefault="00342650" w:rsidP="00A574DB">
            <w:pPr>
              <w:pStyle w:val="NoSpacing"/>
              <w:jc w:val="both"/>
              <w:rPr>
                <w:rFonts w:ascii="Arial Narrow" w:hAnsi="Arial Narrow" w:cs="Arial"/>
                <w:bCs/>
                <w:color w:val="000000" w:themeColor="text1"/>
                <w:sz w:val="16"/>
                <w:szCs w:val="16"/>
              </w:rPr>
            </w:pPr>
            <w:r w:rsidRPr="0038072D">
              <w:rPr>
                <w:rFonts w:ascii="Arial Narrow" w:hAnsi="Arial Narrow" w:cs="Arial"/>
                <w:sz w:val="16"/>
                <w:szCs w:val="16"/>
              </w:rPr>
              <w:t xml:space="preserve">Internal Development works (Road, Water Supply &amp; Sewerage) at Benazir Town, </w:t>
            </w:r>
            <w:proofErr w:type="spellStart"/>
            <w:r w:rsidRPr="0038072D">
              <w:rPr>
                <w:rFonts w:ascii="Arial Narrow" w:hAnsi="Arial Narrow" w:cs="Arial"/>
                <w:sz w:val="16"/>
                <w:szCs w:val="16"/>
              </w:rPr>
              <w:t>Mehar</w:t>
            </w:r>
            <w:proofErr w:type="spellEnd"/>
            <w:r w:rsidRPr="0038072D">
              <w:rPr>
                <w:rFonts w:ascii="Arial Narrow" w:hAnsi="Arial Narrow" w:cs="Arial"/>
                <w:sz w:val="16"/>
                <w:szCs w:val="16"/>
              </w:rPr>
              <w:t xml:space="preserve"> (Contract Package No. SMBBT/MHR/INF-001)</w:t>
            </w:r>
          </w:p>
        </w:tc>
        <w:tc>
          <w:tcPr>
            <w:tcW w:w="1007" w:type="dxa"/>
            <w:vAlign w:val="center"/>
          </w:tcPr>
          <w:p w:rsidR="00342650" w:rsidRPr="0038072D" w:rsidRDefault="00C711E0" w:rsidP="0096398E">
            <w:pPr>
              <w:jc w:val="center"/>
              <w:rPr>
                <w:rFonts w:ascii="Arial Narrow" w:hAnsi="Arial Narrow" w:cs="Arial"/>
                <w:sz w:val="16"/>
                <w:szCs w:val="16"/>
              </w:rPr>
            </w:pPr>
            <w:r w:rsidRPr="0038072D">
              <w:rPr>
                <w:rFonts w:ascii="Arial Narrow" w:hAnsi="Arial Narrow" w:cs="Arial"/>
                <w:sz w:val="16"/>
                <w:szCs w:val="16"/>
              </w:rPr>
              <w:t>44.776</w:t>
            </w:r>
          </w:p>
        </w:tc>
        <w:tc>
          <w:tcPr>
            <w:tcW w:w="1007" w:type="dxa"/>
            <w:vAlign w:val="center"/>
          </w:tcPr>
          <w:p w:rsidR="00342650" w:rsidRPr="0038072D" w:rsidRDefault="002460B2" w:rsidP="00A574DB">
            <w:pPr>
              <w:jc w:val="center"/>
              <w:rPr>
                <w:sz w:val="16"/>
                <w:szCs w:val="16"/>
              </w:rPr>
            </w:pPr>
            <w:r w:rsidRPr="0038072D">
              <w:rPr>
                <w:rFonts w:ascii="Arial Narrow" w:hAnsi="Arial Narrow" w:cs="Arial"/>
                <w:sz w:val="16"/>
                <w:szCs w:val="16"/>
              </w:rPr>
              <w:t>2</w:t>
            </w:r>
            <w:r w:rsidR="00342650" w:rsidRPr="0038072D">
              <w:rPr>
                <w:rFonts w:ascii="Arial Narrow" w:hAnsi="Arial Narrow" w:cs="Arial"/>
                <w:sz w:val="16"/>
                <w:szCs w:val="16"/>
              </w:rPr>
              <w:t>% of quoted cost.</w:t>
            </w:r>
          </w:p>
        </w:tc>
        <w:tc>
          <w:tcPr>
            <w:tcW w:w="840" w:type="dxa"/>
            <w:vAlign w:val="center"/>
          </w:tcPr>
          <w:p w:rsidR="00342650" w:rsidRPr="0038072D" w:rsidRDefault="00342650" w:rsidP="00A574DB">
            <w:pPr>
              <w:jc w:val="center"/>
              <w:rPr>
                <w:rFonts w:ascii="Arial Narrow" w:hAnsi="Arial Narrow" w:cs="Arial"/>
                <w:sz w:val="16"/>
                <w:szCs w:val="16"/>
              </w:rPr>
            </w:pPr>
            <w:r w:rsidRPr="0038072D">
              <w:rPr>
                <w:rFonts w:ascii="Arial Narrow" w:hAnsi="Arial Narrow" w:cs="Arial"/>
                <w:sz w:val="16"/>
                <w:szCs w:val="16"/>
              </w:rPr>
              <w:t>3,000/</w:t>
            </w:r>
          </w:p>
        </w:tc>
        <w:tc>
          <w:tcPr>
            <w:tcW w:w="4207" w:type="dxa"/>
          </w:tcPr>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Valid PEC Registered Contractor  C-</w:t>
            </w:r>
            <w:r w:rsidR="00AE6040">
              <w:rPr>
                <w:rFonts w:ascii="Arial Narrow" w:hAnsi="Arial Narrow" w:cs="Arial"/>
                <w:sz w:val="16"/>
                <w:szCs w:val="16"/>
              </w:rPr>
              <w:t>5</w:t>
            </w:r>
            <w:r w:rsidRPr="0038072D">
              <w:rPr>
                <w:rFonts w:ascii="Arial Narrow" w:hAnsi="Arial Narrow" w:cs="Arial"/>
                <w:sz w:val="16"/>
                <w:szCs w:val="16"/>
              </w:rPr>
              <w:t xml:space="preserve"> and above, CE-01 &amp; CE-09</w:t>
            </w:r>
          </w:p>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NTN Certificate</w:t>
            </w:r>
          </w:p>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Valid Professional Tax</w:t>
            </w:r>
          </w:p>
          <w:p w:rsidR="00342650"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Registration with Sindh Board of Revenue</w:t>
            </w:r>
          </w:p>
        </w:tc>
      </w:tr>
      <w:tr w:rsidR="00342650" w:rsidRPr="0038072D" w:rsidTr="00897C23">
        <w:trPr>
          <w:trHeight w:val="562"/>
          <w:jc w:val="center"/>
        </w:trPr>
        <w:tc>
          <w:tcPr>
            <w:tcW w:w="644" w:type="dxa"/>
            <w:vAlign w:val="center"/>
          </w:tcPr>
          <w:p w:rsidR="00342650" w:rsidRPr="0038072D" w:rsidRDefault="006108B5" w:rsidP="00A574DB">
            <w:pPr>
              <w:pStyle w:val="NoSpacing"/>
              <w:jc w:val="center"/>
              <w:rPr>
                <w:rFonts w:ascii="Arial Narrow" w:hAnsi="Arial Narrow" w:cs="Arial"/>
                <w:b/>
                <w:sz w:val="16"/>
                <w:szCs w:val="16"/>
              </w:rPr>
            </w:pPr>
            <w:r w:rsidRPr="0038072D">
              <w:rPr>
                <w:rFonts w:ascii="Arial Narrow" w:hAnsi="Arial Narrow" w:cs="Arial"/>
                <w:b/>
                <w:sz w:val="16"/>
                <w:szCs w:val="16"/>
              </w:rPr>
              <w:t>3</w:t>
            </w:r>
          </w:p>
        </w:tc>
        <w:tc>
          <w:tcPr>
            <w:tcW w:w="3302" w:type="dxa"/>
            <w:vAlign w:val="center"/>
          </w:tcPr>
          <w:p w:rsidR="00342650" w:rsidRPr="0038072D" w:rsidRDefault="00342650" w:rsidP="00A574DB">
            <w:pPr>
              <w:pStyle w:val="NoSpacing"/>
              <w:jc w:val="both"/>
              <w:rPr>
                <w:rFonts w:ascii="Arial Narrow" w:hAnsi="Arial Narrow" w:cs="Arial"/>
                <w:bCs/>
                <w:color w:val="000000" w:themeColor="text1"/>
                <w:sz w:val="16"/>
                <w:szCs w:val="16"/>
              </w:rPr>
            </w:pPr>
            <w:r w:rsidRPr="0038072D">
              <w:rPr>
                <w:rFonts w:ascii="Arial Narrow" w:hAnsi="Arial Narrow" w:cs="Arial"/>
                <w:sz w:val="16"/>
                <w:szCs w:val="16"/>
              </w:rPr>
              <w:t xml:space="preserve">Internal Development works (Road, Water Supply &amp; Sewerage) at Benazir Town, </w:t>
            </w:r>
            <w:proofErr w:type="spellStart"/>
            <w:r w:rsidRPr="0038072D">
              <w:rPr>
                <w:rFonts w:ascii="Arial Narrow" w:hAnsi="Arial Narrow" w:cs="Arial"/>
                <w:sz w:val="16"/>
                <w:szCs w:val="16"/>
              </w:rPr>
              <w:t>Dadu</w:t>
            </w:r>
            <w:proofErr w:type="spellEnd"/>
            <w:r w:rsidRPr="0038072D">
              <w:rPr>
                <w:rFonts w:ascii="Arial Narrow" w:hAnsi="Arial Narrow" w:cs="Arial"/>
                <w:sz w:val="16"/>
                <w:szCs w:val="16"/>
              </w:rPr>
              <w:t xml:space="preserve"> (Contract Package No. SMBBT/DDU/INF-001)</w:t>
            </w:r>
          </w:p>
        </w:tc>
        <w:tc>
          <w:tcPr>
            <w:tcW w:w="1007" w:type="dxa"/>
            <w:vAlign w:val="center"/>
          </w:tcPr>
          <w:p w:rsidR="00342650" w:rsidRPr="0038072D" w:rsidRDefault="00C711E0" w:rsidP="003D33EB">
            <w:pPr>
              <w:jc w:val="center"/>
              <w:rPr>
                <w:rFonts w:ascii="Arial Narrow" w:hAnsi="Arial Narrow" w:cs="Arial"/>
                <w:sz w:val="16"/>
                <w:szCs w:val="16"/>
              </w:rPr>
            </w:pPr>
            <w:r w:rsidRPr="0038072D">
              <w:rPr>
                <w:rFonts w:ascii="Arial Narrow" w:hAnsi="Arial Narrow" w:cs="Arial"/>
                <w:sz w:val="16"/>
                <w:szCs w:val="16"/>
              </w:rPr>
              <w:t>5</w:t>
            </w:r>
            <w:r w:rsidR="003D33EB" w:rsidRPr="0038072D">
              <w:rPr>
                <w:rFonts w:ascii="Arial Narrow" w:hAnsi="Arial Narrow" w:cs="Arial"/>
                <w:sz w:val="16"/>
                <w:szCs w:val="16"/>
              </w:rPr>
              <w:t>7</w:t>
            </w:r>
            <w:r w:rsidRPr="0038072D">
              <w:rPr>
                <w:rFonts w:ascii="Arial Narrow" w:hAnsi="Arial Narrow" w:cs="Arial"/>
                <w:sz w:val="16"/>
                <w:szCs w:val="16"/>
              </w:rPr>
              <w:t>.</w:t>
            </w:r>
            <w:r w:rsidR="003D33EB" w:rsidRPr="0038072D">
              <w:rPr>
                <w:rFonts w:ascii="Arial Narrow" w:hAnsi="Arial Narrow" w:cs="Arial"/>
                <w:sz w:val="16"/>
                <w:szCs w:val="16"/>
              </w:rPr>
              <w:t>552</w:t>
            </w:r>
          </w:p>
        </w:tc>
        <w:tc>
          <w:tcPr>
            <w:tcW w:w="1007" w:type="dxa"/>
            <w:vAlign w:val="center"/>
          </w:tcPr>
          <w:p w:rsidR="00342650" w:rsidRPr="0038072D" w:rsidRDefault="002460B2" w:rsidP="00A574DB">
            <w:pPr>
              <w:jc w:val="center"/>
              <w:rPr>
                <w:sz w:val="16"/>
                <w:szCs w:val="16"/>
              </w:rPr>
            </w:pPr>
            <w:r w:rsidRPr="0038072D">
              <w:rPr>
                <w:rFonts w:ascii="Arial Narrow" w:hAnsi="Arial Narrow" w:cs="Arial"/>
                <w:sz w:val="16"/>
                <w:szCs w:val="16"/>
              </w:rPr>
              <w:t>2</w:t>
            </w:r>
            <w:r w:rsidR="00342650" w:rsidRPr="0038072D">
              <w:rPr>
                <w:rFonts w:ascii="Arial Narrow" w:hAnsi="Arial Narrow" w:cs="Arial"/>
                <w:sz w:val="16"/>
                <w:szCs w:val="16"/>
              </w:rPr>
              <w:t>% of quoted cost.</w:t>
            </w:r>
          </w:p>
        </w:tc>
        <w:tc>
          <w:tcPr>
            <w:tcW w:w="840" w:type="dxa"/>
            <w:vAlign w:val="center"/>
          </w:tcPr>
          <w:p w:rsidR="00342650" w:rsidRPr="0038072D" w:rsidRDefault="00342650" w:rsidP="00A574DB">
            <w:pPr>
              <w:jc w:val="center"/>
              <w:rPr>
                <w:rFonts w:ascii="Arial Narrow" w:hAnsi="Arial Narrow" w:cs="Arial"/>
                <w:sz w:val="16"/>
                <w:szCs w:val="16"/>
              </w:rPr>
            </w:pPr>
            <w:r w:rsidRPr="0038072D">
              <w:rPr>
                <w:rFonts w:ascii="Arial Narrow" w:hAnsi="Arial Narrow" w:cs="Arial"/>
                <w:sz w:val="16"/>
                <w:szCs w:val="16"/>
              </w:rPr>
              <w:t>3,000/</w:t>
            </w:r>
          </w:p>
        </w:tc>
        <w:tc>
          <w:tcPr>
            <w:tcW w:w="4207" w:type="dxa"/>
          </w:tcPr>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Valid PEC Registered Contractor  C-</w:t>
            </w:r>
            <w:r w:rsidR="00CC4D90">
              <w:rPr>
                <w:rFonts w:ascii="Arial Narrow" w:hAnsi="Arial Narrow" w:cs="Arial"/>
                <w:sz w:val="16"/>
                <w:szCs w:val="16"/>
              </w:rPr>
              <w:t>5</w:t>
            </w:r>
            <w:r w:rsidRPr="0038072D">
              <w:rPr>
                <w:rFonts w:ascii="Arial Narrow" w:hAnsi="Arial Narrow" w:cs="Arial"/>
                <w:sz w:val="16"/>
                <w:szCs w:val="16"/>
              </w:rPr>
              <w:t xml:space="preserve"> and above, CE-01 &amp; CE-09</w:t>
            </w:r>
          </w:p>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NTN Certificate</w:t>
            </w:r>
          </w:p>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Valid Professional Tax</w:t>
            </w:r>
          </w:p>
          <w:p w:rsidR="00342650"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Registration with Sindh Board of Revenue</w:t>
            </w:r>
          </w:p>
        </w:tc>
      </w:tr>
      <w:tr w:rsidR="00342650" w:rsidRPr="0038072D" w:rsidTr="00897C23">
        <w:trPr>
          <w:trHeight w:val="562"/>
          <w:jc w:val="center"/>
        </w:trPr>
        <w:tc>
          <w:tcPr>
            <w:tcW w:w="644" w:type="dxa"/>
            <w:vAlign w:val="center"/>
          </w:tcPr>
          <w:p w:rsidR="00342650" w:rsidRPr="0038072D" w:rsidRDefault="006108B5" w:rsidP="00A574DB">
            <w:pPr>
              <w:pStyle w:val="NoSpacing"/>
              <w:jc w:val="center"/>
              <w:rPr>
                <w:rFonts w:ascii="Arial Narrow" w:hAnsi="Arial Narrow" w:cs="Arial"/>
                <w:b/>
                <w:sz w:val="16"/>
                <w:szCs w:val="16"/>
              </w:rPr>
            </w:pPr>
            <w:r w:rsidRPr="0038072D">
              <w:rPr>
                <w:rFonts w:ascii="Arial Narrow" w:hAnsi="Arial Narrow" w:cs="Arial"/>
                <w:b/>
                <w:sz w:val="16"/>
                <w:szCs w:val="16"/>
              </w:rPr>
              <w:t>4</w:t>
            </w:r>
          </w:p>
        </w:tc>
        <w:tc>
          <w:tcPr>
            <w:tcW w:w="3302" w:type="dxa"/>
            <w:vAlign w:val="center"/>
          </w:tcPr>
          <w:p w:rsidR="00342650" w:rsidRPr="0038072D" w:rsidRDefault="00342650" w:rsidP="003D33EB">
            <w:pPr>
              <w:pStyle w:val="NoSpacing"/>
              <w:jc w:val="both"/>
              <w:rPr>
                <w:rFonts w:ascii="Arial Narrow" w:hAnsi="Arial Narrow" w:cs="Arial"/>
                <w:bCs/>
                <w:color w:val="000000" w:themeColor="text1"/>
                <w:sz w:val="16"/>
                <w:szCs w:val="16"/>
              </w:rPr>
            </w:pPr>
            <w:r w:rsidRPr="0038072D">
              <w:rPr>
                <w:rFonts w:ascii="Arial Narrow" w:hAnsi="Arial Narrow" w:cs="Arial"/>
                <w:sz w:val="16"/>
                <w:szCs w:val="16"/>
              </w:rPr>
              <w:t xml:space="preserve">Internal Development works (Road, Water Supply &amp; Sewerage) at Benazir Town, </w:t>
            </w:r>
            <w:proofErr w:type="spellStart"/>
            <w:r w:rsidRPr="0038072D">
              <w:rPr>
                <w:rFonts w:ascii="Arial Narrow" w:hAnsi="Arial Narrow" w:cs="Arial"/>
                <w:sz w:val="16"/>
                <w:szCs w:val="16"/>
              </w:rPr>
              <w:t>Sehwan</w:t>
            </w:r>
            <w:proofErr w:type="spellEnd"/>
            <w:r w:rsidRPr="0038072D">
              <w:rPr>
                <w:rFonts w:ascii="Arial Narrow" w:hAnsi="Arial Narrow" w:cs="Arial"/>
                <w:sz w:val="16"/>
                <w:szCs w:val="16"/>
              </w:rPr>
              <w:t xml:space="preserve"> (Contract Package No. SMBBT/S</w:t>
            </w:r>
            <w:r w:rsidR="00DA32CF" w:rsidRPr="0038072D">
              <w:rPr>
                <w:rFonts w:ascii="Arial Narrow" w:hAnsi="Arial Narrow" w:cs="Arial"/>
                <w:sz w:val="16"/>
                <w:szCs w:val="16"/>
              </w:rPr>
              <w:t>W</w:t>
            </w:r>
            <w:r w:rsidRPr="0038072D">
              <w:rPr>
                <w:rFonts w:ascii="Arial Narrow" w:hAnsi="Arial Narrow" w:cs="Arial"/>
                <w:sz w:val="16"/>
                <w:szCs w:val="16"/>
              </w:rPr>
              <w:t>N/INF-00</w:t>
            </w:r>
            <w:r w:rsidR="003D33EB" w:rsidRPr="0038072D">
              <w:rPr>
                <w:rFonts w:ascii="Arial Narrow" w:hAnsi="Arial Narrow" w:cs="Arial"/>
                <w:sz w:val="16"/>
                <w:szCs w:val="16"/>
              </w:rPr>
              <w:t>2</w:t>
            </w:r>
            <w:r w:rsidRPr="0038072D">
              <w:rPr>
                <w:rFonts w:ascii="Arial Narrow" w:hAnsi="Arial Narrow" w:cs="Arial"/>
                <w:sz w:val="16"/>
                <w:szCs w:val="16"/>
              </w:rPr>
              <w:t>)</w:t>
            </w:r>
          </w:p>
        </w:tc>
        <w:tc>
          <w:tcPr>
            <w:tcW w:w="1007" w:type="dxa"/>
            <w:vAlign w:val="center"/>
          </w:tcPr>
          <w:p w:rsidR="00342650" w:rsidRPr="0038072D" w:rsidRDefault="003D33EB" w:rsidP="003D33EB">
            <w:pPr>
              <w:jc w:val="center"/>
              <w:rPr>
                <w:rFonts w:ascii="Arial Narrow" w:hAnsi="Arial Narrow" w:cs="Arial"/>
                <w:sz w:val="16"/>
                <w:szCs w:val="16"/>
              </w:rPr>
            </w:pPr>
            <w:r w:rsidRPr="0038072D">
              <w:rPr>
                <w:rFonts w:ascii="Arial Narrow" w:hAnsi="Arial Narrow" w:cs="Arial"/>
                <w:sz w:val="16"/>
                <w:szCs w:val="16"/>
              </w:rPr>
              <w:t>63</w:t>
            </w:r>
            <w:r w:rsidR="00C711E0" w:rsidRPr="0038072D">
              <w:rPr>
                <w:rFonts w:ascii="Arial Narrow" w:hAnsi="Arial Narrow" w:cs="Arial"/>
                <w:sz w:val="16"/>
                <w:szCs w:val="16"/>
              </w:rPr>
              <w:t>.</w:t>
            </w:r>
            <w:r w:rsidRPr="0038072D">
              <w:rPr>
                <w:rFonts w:ascii="Arial Narrow" w:hAnsi="Arial Narrow" w:cs="Arial"/>
                <w:sz w:val="16"/>
                <w:szCs w:val="16"/>
              </w:rPr>
              <w:t>263</w:t>
            </w:r>
          </w:p>
        </w:tc>
        <w:tc>
          <w:tcPr>
            <w:tcW w:w="1007" w:type="dxa"/>
            <w:vAlign w:val="center"/>
          </w:tcPr>
          <w:p w:rsidR="00342650" w:rsidRPr="0038072D" w:rsidRDefault="002460B2" w:rsidP="00A574DB">
            <w:pPr>
              <w:jc w:val="center"/>
              <w:rPr>
                <w:sz w:val="16"/>
                <w:szCs w:val="16"/>
              </w:rPr>
            </w:pPr>
            <w:r w:rsidRPr="0038072D">
              <w:rPr>
                <w:rFonts w:ascii="Arial Narrow" w:hAnsi="Arial Narrow" w:cs="Arial"/>
                <w:sz w:val="16"/>
                <w:szCs w:val="16"/>
              </w:rPr>
              <w:t>2</w:t>
            </w:r>
            <w:r w:rsidR="00342650" w:rsidRPr="0038072D">
              <w:rPr>
                <w:rFonts w:ascii="Arial Narrow" w:hAnsi="Arial Narrow" w:cs="Arial"/>
                <w:sz w:val="16"/>
                <w:szCs w:val="16"/>
              </w:rPr>
              <w:t>% of quoted cost.</w:t>
            </w:r>
          </w:p>
        </w:tc>
        <w:tc>
          <w:tcPr>
            <w:tcW w:w="840" w:type="dxa"/>
            <w:vAlign w:val="center"/>
          </w:tcPr>
          <w:p w:rsidR="00342650" w:rsidRPr="0038072D" w:rsidRDefault="00342650" w:rsidP="00A574DB">
            <w:pPr>
              <w:jc w:val="center"/>
              <w:rPr>
                <w:rFonts w:ascii="Arial Narrow" w:hAnsi="Arial Narrow" w:cs="Arial"/>
                <w:sz w:val="16"/>
                <w:szCs w:val="16"/>
              </w:rPr>
            </w:pPr>
            <w:r w:rsidRPr="0038072D">
              <w:rPr>
                <w:rFonts w:ascii="Arial Narrow" w:hAnsi="Arial Narrow" w:cs="Arial"/>
                <w:sz w:val="16"/>
                <w:szCs w:val="16"/>
              </w:rPr>
              <w:t>3,000/</w:t>
            </w:r>
          </w:p>
        </w:tc>
        <w:tc>
          <w:tcPr>
            <w:tcW w:w="4207" w:type="dxa"/>
          </w:tcPr>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Valid PEC Registered Contractor  C-</w:t>
            </w:r>
            <w:r w:rsidR="00CC4D90">
              <w:rPr>
                <w:rFonts w:ascii="Arial Narrow" w:hAnsi="Arial Narrow" w:cs="Arial"/>
                <w:sz w:val="16"/>
                <w:szCs w:val="16"/>
              </w:rPr>
              <w:t>5</w:t>
            </w:r>
            <w:r w:rsidRPr="0038072D">
              <w:rPr>
                <w:rFonts w:ascii="Arial Narrow" w:hAnsi="Arial Narrow" w:cs="Arial"/>
                <w:sz w:val="16"/>
                <w:szCs w:val="16"/>
              </w:rPr>
              <w:t xml:space="preserve"> and above, CE-01 &amp; CE-09</w:t>
            </w:r>
          </w:p>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NTN Certificate</w:t>
            </w:r>
          </w:p>
          <w:p w:rsidR="00DA32CF"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Valid Professional Tax</w:t>
            </w:r>
          </w:p>
          <w:p w:rsidR="00342650" w:rsidRPr="0038072D" w:rsidRDefault="00DA32CF" w:rsidP="00DA32CF">
            <w:pPr>
              <w:pStyle w:val="NoSpacing"/>
              <w:numPr>
                <w:ilvl w:val="0"/>
                <w:numId w:val="2"/>
              </w:numPr>
              <w:ind w:left="162" w:hanging="162"/>
              <w:jc w:val="both"/>
              <w:rPr>
                <w:rFonts w:ascii="Arial Narrow" w:hAnsi="Arial Narrow" w:cs="Arial"/>
                <w:sz w:val="16"/>
                <w:szCs w:val="16"/>
              </w:rPr>
            </w:pPr>
            <w:r w:rsidRPr="0038072D">
              <w:rPr>
                <w:rFonts w:ascii="Arial Narrow" w:hAnsi="Arial Narrow" w:cs="Arial"/>
                <w:sz w:val="16"/>
                <w:szCs w:val="16"/>
              </w:rPr>
              <w:t>Registration with Sindh Board of Revenue</w:t>
            </w:r>
          </w:p>
        </w:tc>
      </w:tr>
    </w:tbl>
    <w:p w:rsidR="00DA32CF" w:rsidRPr="00897C23" w:rsidRDefault="00DA32CF" w:rsidP="00FC35D7">
      <w:pPr>
        <w:pStyle w:val="NoSpacing"/>
        <w:rPr>
          <w:rFonts w:ascii="Arial Narrow" w:hAnsi="Arial Narrow" w:cs="Arial"/>
          <w:sz w:val="8"/>
          <w:szCs w:val="16"/>
        </w:rPr>
      </w:pPr>
    </w:p>
    <w:p w:rsidR="00FC35D7" w:rsidRPr="0038072D" w:rsidRDefault="00FC35D7" w:rsidP="006B2532">
      <w:pPr>
        <w:pStyle w:val="NoSpacing"/>
        <w:ind w:firstLine="720"/>
        <w:rPr>
          <w:rFonts w:ascii="Arial Narrow" w:hAnsi="Arial Narrow" w:cs="Arial"/>
          <w:sz w:val="16"/>
          <w:szCs w:val="16"/>
        </w:rPr>
      </w:pPr>
      <w:r w:rsidRPr="0038072D">
        <w:rPr>
          <w:rFonts w:ascii="Arial Narrow" w:hAnsi="Arial Narrow" w:cs="Arial"/>
          <w:sz w:val="16"/>
          <w:szCs w:val="16"/>
        </w:rPr>
        <w:t>Tender schedule shall be as follows:-</w:t>
      </w:r>
    </w:p>
    <w:tbl>
      <w:tblPr>
        <w:tblStyle w:val="TableGrid"/>
        <w:tblW w:w="10403" w:type="dxa"/>
        <w:jc w:val="center"/>
        <w:tblInd w:w="651" w:type="dxa"/>
        <w:tblLayout w:type="fixed"/>
        <w:tblLook w:val="04A0" w:firstRow="1" w:lastRow="0" w:firstColumn="1" w:lastColumn="0" w:noHBand="0" w:noVBand="1"/>
      </w:tblPr>
      <w:tblGrid>
        <w:gridCol w:w="683"/>
        <w:gridCol w:w="2572"/>
        <w:gridCol w:w="3207"/>
        <w:gridCol w:w="3941"/>
      </w:tblGrid>
      <w:tr w:rsidR="00FC35D7" w:rsidRPr="0038072D" w:rsidTr="00C8067B">
        <w:trPr>
          <w:trHeight w:val="188"/>
          <w:jc w:val="center"/>
        </w:trPr>
        <w:tc>
          <w:tcPr>
            <w:tcW w:w="683" w:type="dxa"/>
            <w:shd w:val="clear" w:color="auto" w:fill="D9D9D9" w:themeFill="background1" w:themeFillShade="D9"/>
            <w:vAlign w:val="center"/>
          </w:tcPr>
          <w:p w:rsidR="00FC35D7" w:rsidRPr="0038072D" w:rsidRDefault="00FC35D7" w:rsidP="003E1120">
            <w:pPr>
              <w:pStyle w:val="NoSpacing"/>
              <w:jc w:val="center"/>
              <w:rPr>
                <w:rFonts w:ascii="Arial Narrow" w:hAnsi="Arial Narrow" w:cs="Arial"/>
                <w:b/>
                <w:sz w:val="16"/>
                <w:szCs w:val="16"/>
              </w:rPr>
            </w:pPr>
            <w:r w:rsidRPr="0038072D">
              <w:rPr>
                <w:rFonts w:ascii="Arial Narrow" w:hAnsi="Arial Narrow" w:cs="Arial"/>
                <w:b/>
                <w:sz w:val="16"/>
                <w:szCs w:val="16"/>
              </w:rPr>
              <w:t>Sr. No.</w:t>
            </w:r>
          </w:p>
        </w:tc>
        <w:tc>
          <w:tcPr>
            <w:tcW w:w="2572" w:type="dxa"/>
            <w:shd w:val="clear" w:color="auto" w:fill="D9D9D9" w:themeFill="background1" w:themeFillShade="D9"/>
            <w:vAlign w:val="center"/>
          </w:tcPr>
          <w:p w:rsidR="00FC35D7" w:rsidRPr="0038072D" w:rsidRDefault="00FC35D7" w:rsidP="003E1120">
            <w:pPr>
              <w:pStyle w:val="NoSpacing"/>
              <w:jc w:val="center"/>
              <w:rPr>
                <w:rFonts w:ascii="Arial Narrow" w:hAnsi="Arial Narrow" w:cs="Arial"/>
                <w:b/>
                <w:sz w:val="16"/>
                <w:szCs w:val="16"/>
              </w:rPr>
            </w:pPr>
            <w:r w:rsidRPr="0038072D">
              <w:rPr>
                <w:rFonts w:ascii="Arial Narrow" w:hAnsi="Arial Narrow" w:cs="Arial"/>
                <w:b/>
                <w:sz w:val="16"/>
                <w:szCs w:val="16"/>
              </w:rPr>
              <w:t>Schedule</w:t>
            </w:r>
          </w:p>
        </w:tc>
        <w:tc>
          <w:tcPr>
            <w:tcW w:w="3207" w:type="dxa"/>
            <w:shd w:val="clear" w:color="auto" w:fill="D9D9D9" w:themeFill="background1" w:themeFillShade="D9"/>
            <w:vAlign w:val="center"/>
          </w:tcPr>
          <w:p w:rsidR="00FC35D7" w:rsidRPr="0038072D" w:rsidRDefault="00FC35D7" w:rsidP="003E1120">
            <w:pPr>
              <w:pStyle w:val="NoSpacing"/>
              <w:jc w:val="center"/>
              <w:rPr>
                <w:rFonts w:ascii="Arial Narrow" w:hAnsi="Arial Narrow" w:cs="Arial"/>
                <w:b/>
                <w:sz w:val="16"/>
                <w:szCs w:val="16"/>
              </w:rPr>
            </w:pPr>
            <w:r w:rsidRPr="0038072D">
              <w:rPr>
                <w:rFonts w:ascii="Arial Narrow" w:hAnsi="Arial Narrow" w:cs="Arial"/>
                <w:b/>
                <w:sz w:val="16"/>
                <w:szCs w:val="16"/>
              </w:rPr>
              <w:t>Date &amp; Time</w:t>
            </w:r>
          </w:p>
        </w:tc>
        <w:tc>
          <w:tcPr>
            <w:tcW w:w="3941" w:type="dxa"/>
            <w:shd w:val="clear" w:color="auto" w:fill="D9D9D9" w:themeFill="background1" w:themeFillShade="D9"/>
            <w:vAlign w:val="center"/>
          </w:tcPr>
          <w:p w:rsidR="00FC35D7" w:rsidRPr="0038072D" w:rsidRDefault="00FC35D7" w:rsidP="003E1120">
            <w:pPr>
              <w:pStyle w:val="NoSpacing"/>
              <w:jc w:val="center"/>
              <w:rPr>
                <w:rFonts w:ascii="Arial Narrow" w:hAnsi="Arial Narrow" w:cs="Arial"/>
                <w:b/>
                <w:sz w:val="16"/>
                <w:szCs w:val="16"/>
              </w:rPr>
            </w:pPr>
            <w:r w:rsidRPr="0038072D">
              <w:rPr>
                <w:rFonts w:ascii="Arial Narrow" w:hAnsi="Arial Narrow" w:cs="Arial"/>
                <w:b/>
                <w:sz w:val="16"/>
                <w:szCs w:val="16"/>
              </w:rPr>
              <w:t>Venue</w:t>
            </w:r>
          </w:p>
        </w:tc>
      </w:tr>
      <w:tr w:rsidR="00FC35D7" w:rsidRPr="0038072D" w:rsidTr="00897C23">
        <w:trPr>
          <w:trHeight w:val="386"/>
          <w:jc w:val="center"/>
        </w:trPr>
        <w:tc>
          <w:tcPr>
            <w:tcW w:w="683" w:type="dxa"/>
            <w:vAlign w:val="center"/>
          </w:tcPr>
          <w:p w:rsidR="00FC35D7" w:rsidRPr="0038072D" w:rsidRDefault="00FC35D7" w:rsidP="003E1120">
            <w:pPr>
              <w:pStyle w:val="NoSpacing"/>
              <w:jc w:val="center"/>
              <w:rPr>
                <w:rFonts w:ascii="Arial Narrow" w:hAnsi="Arial Narrow" w:cs="Arial"/>
                <w:b/>
                <w:sz w:val="16"/>
                <w:szCs w:val="16"/>
              </w:rPr>
            </w:pPr>
            <w:r w:rsidRPr="0038072D">
              <w:rPr>
                <w:rFonts w:ascii="Arial Narrow" w:hAnsi="Arial Narrow" w:cs="Arial"/>
                <w:b/>
                <w:sz w:val="16"/>
                <w:szCs w:val="16"/>
              </w:rPr>
              <w:t>1</w:t>
            </w:r>
          </w:p>
        </w:tc>
        <w:tc>
          <w:tcPr>
            <w:tcW w:w="2572" w:type="dxa"/>
            <w:vAlign w:val="center"/>
          </w:tcPr>
          <w:p w:rsidR="00FC35D7" w:rsidRPr="0038072D" w:rsidRDefault="00FC35D7" w:rsidP="003E1120">
            <w:pPr>
              <w:pStyle w:val="NoSpacing"/>
              <w:jc w:val="both"/>
              <w:rPr>
                <w:rFonts w:ascii="Arial Narrow" w:hAnsi="Arial Narrow" w:cs="Arial"/>
                <w:sz w:val="16"/>
                <w:szCs w:val="16"/>
              </w:rPr>
            </w:pPr>
            <w:r w:rsidRPr="0038072D">
              <w:rPr>
                <w:rFonts w:ascii="Arial Narrow" w:hAnsi="Arial Narrow" w:cs="Arial"/>
                <w:sz w:val="16"/>
                <w:szCs w:val="16"/>
              </w:rPr>
              <w:t>Receiving of Application &amp; Issuance of Tender</w:t>
            </w:r>
          </w:p>
        </w:tc>
        <w:tc>
          <w:tcPr>
            <w:tcW w:w="3207" w:type="dxa"/>
            <w:vAlign w:val="center"/>
          </w:tcPr>
          <w:p w:rsidR="00FC35D7" w:rsidRPr="0038072D" w:rsidRDefault="00FC35D7" w:rsidP="009F423D">
            <w:pPr>
              <w:jc w:val="center"/>
              <w:rPr>
                <w:rFonts w:ascii="Arial Narrow" w:hAnsi="Arial Narrow" w:cs="Arial"/>
                <w:sz w:val="16"/>
                <w:szCs w:val="16"/>
              </w:rPr>
            </w:pPr>
            <w:r w:rsidRPr="0038072D">
              <w:rPr>
                <w:rFonts w:ascii="Arial Narrow" w:hAnsi="Arial Narrow" w:cs="Arial"/>
                <w:sz w:val="16"/>
                <w:szCs w:val="16"/>
              </w:rPr>
              <w:t>From</w:t>
            </w:r>
            <w:r w:rsidR="00897C23">
              <w:rPr>
                <w:rFonts w:ascii="Arial Narrow" w:hAnsi="Arial Narrow" w:cs="Arial"/>
                <w:sz w:val="16"/>
                <w:szCs w:val="16"/>
              </w:rPr>
              <w:t xml:space="preserve"> </w:t>
            </w:r>
            <w:r w:rsidR="003D33EB" w:rsidRPr="0038072D">
              <w:rPr>
                <w:rFonts w:ascii="Arial Narrow" w:hAnsi="Arial Narrow" w:cs="Arial"/>
                <w:sz w:val="16"/>
                <w:szCs w:val="16"/>
              </w:rPr>
              <w:t>15</w:t>
            </w:r>
            <w:r w:rsidR="00C624BB" w:rsidRPr="0038072D">
              <w:rPr>
                <w:rFonts w:ascii="Arial Narrow" w:hAnsi="Arial Narrow" w:cs="Arial"/>
                <w:sz w:val="16"/>
                <w:szCs w:val="16"/>
              </w:rPr>
              <w:t>-</w:t>
            </w:r>
            <w:r w:rsidR="003D33EB" w:rsidRPr="0038072D">
              <w:rPr>
                <w:rFonts w:ascii="Arial Narrow" w:hAnsi="Arial Narrow" w:cs="Arial"/>
                <w:sz w:val="16"/>
                <w:szCs w:val="16"/>
              </w:rPr>
              <w:t>11</w:t>
            </w:r>
            <w:r w:rsidR="00C624BB" w:rsidRPr="0038072D">
              <w:rPr>
                <w:rFonts w:ascii="Arial Narrow" w:hAnsi="Arial Narrow" w:cs="Arial"/>
                <w:sz w:val="16"/>
                <w:szCs w:val="16"/>
              </w:rPr>
              <w:t>-2017</w:t>
            </w:r>
            <w:r w:rsidR="00897C23">
              <w:rPr>
                <w:rFonts w:ascii="Arial Narrow" w:hAnsi="Arial Narrow" w:cs="Arial"/>
                <w:sz w:val="16"/>
                <w:szCs w:val="16"/>
              </w:rPr>
              <w:t xml:space="preserve"> </w:t>
            </w:r>
            <w:r w:rsidRPr="0038072D">
              <w:rPr>
                <w:rFonts w:ascii="Arial Narrow" w:hAnsi="Arial Narrow" w:cs="Arial"/>
                <w:sz w:val="16"/>
                <w:szCs w:val="16"/>
              </w:rPr>
              <w:t>To</w:t>
            </w:r>
            <w:r w:rsidR="00897C23">
              <w:rPr>
                <w:rFonts w:ascii="Arial Narrow" w:hAnsi="Arial Narrow" w:cs="Arial"/>
                <w:sz w:val="16"/>
                <w:szCs w:val="16"/>
              </w:rPr>
              <w:t xml:space="preserve"> </w:t>
            </w:r>
            <w:r w:rsidR="003D33EB" w:rsidRPr="0038072D">
              <w:rPr>
                <w:rFonts w:ascii="Arial Narrow" w:hAnsi="Arial Narrow" w:cs="Arial"/>
                <w:sz w:val="16"/>
                <w:szCs w:val="16"/>
              </w:rPr>
              <w:t>01</w:t>
            </w:r>
            <w:r w:rsidR="00C624BB" w:rsidRPr="0038072D">
              <w:rPr>
                <w:rFonts w:ascii="Arial Narrow" w:hAnsi="Arial Narrow" w:cs="Arial"/>
                <w:sz w:val="16"/>
                <w:szCs w:val="16"/>
              </w:rPr>
              <w:t>-</w:t>
            </w:r>
            <w:r w:rsidR="003D33EB" w:rsidRPr="0038072D">
              <w:rPr>
                <w:rFonts w:ascii="Arial Narrow" w:hAnsi="Arial Narrow" w:cs="Arial"/>
                <w:sz w:val="16"/>
                <w:szCs w:val="16"/>
              </w:rPr>
              <w:t>12</w:t>
            </w:r>
            <w:r w:rsidR="00C624BB" w:rsidRPr="0038072D">
              <w:rPr>
                <w:rFonts w:ascii="Arial Narrow" w:hAnsi="Arial Narrow" w:cs="Arial"/>
                <w:sz w:val="16"/>
                <w:szCs w:val="16"/>
              </w:rPr>
              <w:t>-2017</w:t>
            </w:r>
          </w:p>
          <w:p w:rsidR="00FC35D7" w:rsidRPr="0038072D" w:rsidRDefault="00C624BB" w:rsidP="009F423D">
            <w:pPr>
              <w:jc w:val="center"/>
              <w:rPr>
                <w:rFonts w:ascii="Arial Narrow" w:hAnsi="Arial Narrow" w:cs="Arial"/>
                <w:sz w:val="16"/>
                <w:szCs w:val="16"/>
              </w:rPr>
            </w:pPr>
            <w:r w:rsidRPr="0038072D">
              <w:rPr>
                <w:rFonts w:ascii="Arial Narrow" w:hAnsi="Arial Narrow" w:cs="Arial"/>
                <w:sz w:val="16"/>
                <w:szCs w:val="16"/>
              </w:rPr>
              <w:t>Between 9:00 AM to 1:00 PM</w:t>
            </w:r>
          </w:p>
        </w:tc>
        <w:tc>
          <w:tcPr>
            <w:tcW w:w="3941" w:type="dxa"/>
            <w:vAlign w:val="center"/>
          </w:tcPr>
          <w:p w:rsidR="00FC35D7" w:rsidRPr="0038072D" w:rsidRDefault="008A32CE" w:rsidP="003D33EB">
            <w:pPr>
              <w:pStyle w:val="NoSpacing"/>
              <w:ind w:left="-3"/>
              <w:jc w:val="center"/>
              <w:rPr>
                <w:rFonts w:ascii="Arial Narrow" w:hAnsi="Arial Narrow" w:cs="Arial"/>
                <w:sz w:val="16"/>
                <w:szCs w:val="16"/>
              </w:rPr>
            </w:pPr>
            <w:r w:rsidRPr="0038072D">
              <w:rPr>
                <w:rFonts w:ascii="Arial Narrow" w:hAnsi="Arial Narrow" w:cs="Arial"/>
                <w:sz w:val="16"/>
                <w:szCs w:val="16"/>
              </w:rPr>
              <w:t xml:space="preserve">Office of the </w:t>
            </w:r>
            <w:r w:rsidR="00F9535A" w:rsidRPr="0038072D">
              <w:rPr>
                <w:rFonts w:ascii="Arial Narrow" w:hAnsi="Arial Narrow" w:cs="Arial"/>
                <w:sz w:val="16"/>
                <w:szCs w:val="16"/>
              </w:rPr>
              <w:t>Executive Engineer</w:t>
            </w:r>
            <w:r w:rsidRPr="0038072D">
              <w:rPr>
                <w:rFonts w:ascii="Arial Narrow" w:hAnsi="Arial Narrow" w:cs="Arial"/>
                <w:sz w:val="16"/>
                <w:szCs w:val="16"/>
              </w:rPr>
              <w:t xml:space="preserve">, SMBBT, Site Office </w:t>
            </w:r>
            <w:proofErr w:type="spellStart"/>
            <w:r w:rsidR="003D33EB" w:rsidRPr="0038072D">
              <w:rPr>
                <w:rFonts w:ascii="Arial Narrow" w:hAnsi="Arial Narrow" w:cs="Arial"/>
                <w:sz w:val="16"/>
                <w:szCs w:val="16"/>
              </w:rPr>
              <w:t>Banglow</w:t>
            </w:r>
            <w:proofErr w:type="spellEnd"/>
            <w:r w:rsidR="003D33EB" w:rsidRPr="0038072D">
              <w:rPr>
                <w:rFonts w:ascii="Arial Narrow" w:hAnsi="Arial Narrow" w:cs="Arial"/>
                <w:sz w:val="16"/>
                <w:szCs w:val="16"/>
              </w:rPr>
              <w:t xml:space="preserve"> No. C11, ADC, Colony </w:t>
            </w:r>
            <w:proofErr w:type="spellStart"/>
            <w:r w:rsidR="003D33EB" w:rsidRPr="0038072D">
              <w:rPr>
                <w:rFonts w:ascii="Arial Narrow" w:hAnsi="Arial Narrow" w:cs="Arial"/>
                <w:sz w:val="16"/>
                <w:szCs w:val="16"/>
              </w:rPr>
              <w:t>Millatary</w:t>
            </w:r>
            <w:proofErr w:type="spellEnd"/>
            <w:r w:rsidR="003D33EB" w:rsidRPr="0038072D">
              <w:rPr>
                <w:rFonts w:ascii="Arial Narrow" w:hAnsi="Arial Narrow" w:cs="Arial"/>
                <w:sz w:val="16"/>
                <w:szCs w:val="16"/>
              </w:rPr>
              <w:t xml:space="preserve"> Road, </w:t>
            </w:r>
            <w:proofErr w:type="spellStart"/>
            <w:r w:rsidR="003D33EB" w:rsidRPr="0038072D">
              <w:rPr>
                <w:rFonts w:ascii="Arial Narrow" w:hAnsi="Arial Narrow" w:cs="Arial"/>
                <w:sz w:val="16"/>
                <w:szCs w:val="16"/>
              </w:rPr>
              <w:t>Sukkur</w:t>
            </w:r>
            <w:proofErr w:type="spellEnd"/>
          </w:p>
        </w:tc>
      </w:tr>
      <w:tr w:rsidR="00FC35D7" w:rsidRPr="0038072D" w:rsidTr="00897C23">
        <w:trPr>
          <w:trHeight w:val="350"/>
          <w:jc w:val="center"/>
        </w:trPr>
        <w:tc>
          <w:tcPr>
            <w:tcW w:w="683" w:type="dxa"/>
            <w:vAlign w:val="center"/>
          </w:tcPr>
          <w:p w:rsidR="00FC35D7" w:rsidRPr="0038072D" w:rsidRDefault="00FC35D7" w:rsidP="003E1120">
            <w:pPr>
              <w:pStyle w:val="NoSpacing"/>
              <w:jc w:val="center"/>
              <w:rPr>
                <w:rFonts w:ascii="Arial Narrow" w:hAnsi="Arial Narrow" w:cs="Arial"/>
                <w:b/>
                <w:sz w:val="16"/>
                <w:szCs w:val="16"/>
              </w:rPr>
            </w:pPr>
            <w:r w:rsidRPr="0038072D">
              <w:rPr>
                <w:rFonts w:ascii="Arial Narrow" w:hAnsi="Arial Narrow" w:cs="Arial"/>
                <w:b/>
                <w:sz w:val="16"/>
                <w:szCs w:val="16"/>
              </w:rPr>
              <w:t>2</w:t>
            </w:r>
          </w:p>
        </w:tc>
        <w:tc>
          <w:tcPr>
            <w:tcW w:w="2572" w:type="dxa"/>
            <w:vAlign w:val="center"/>
          </w:tcPr>
          <w:p w:rsidR="00FC35D7" w:rsidRPr="0038072D" w:rsidRDefault="00FC35D7" w:rsidP="003E1120">
            <w:pPr>
              <w:pStyle w:val="NoSpacing"/>
              <w:jc w:val="both"/>
              <w:rPr>
                <w:rFonts w:ascii="Arial Narrow" w:hAnsi="Arial Narrow" w:cs="Arial"/>
                <w:bCs/>
                <w:color w:val="000000" w:themeColor="text1"/>
                <w:sz w:val="16"/>
                <w:szCs w:val="16"/>
              </w:rPr>
            </w:pPr>
            <w:r w:rsidRPr="0038072D">
              <w:rPr>
                <w:rFonts w:ascii="Arial Narrow" w:hAnsi="Arial Narrow" w:cs="Arial"/>
                <w:bCs/>
                <w:color w:val="000000" w:themeColor="text1"/>
                <w:sz w:val="16"/>
                <w:szCs w:val="16"/>
              </w:rPr>
              <w:t>Dropping of tender</w:t>
            </w:r>
          </w:p>
        </w:tc>
        <w:tc>
          <w:tcPr>
            <w:tcW w:w="3207" w:type="dxa"/>
            <w:vAlign w:val="center"/>
          </w:tcPr>
          <w:p w:rsidR="00FC35D7" w:rsidRPr="0038072D" w:rsidRDefault="00FC35D7" w:rsidP="00897C23">
            <w:pPr>
              <w:jc w:val="center"/>
              <w:rPr>
                <w:rFonts w:ascii="Arial Narrow" w:hAnsi="Arial Narrow" w:cs="Arial"/>
                <w:sz w:val="16"/>
                <w:szCs w:val="16"/>
              </w:rPr>
            </w:pPr>
            <w:proofErr w:type="spellStart"/>
            <w:r w:rsidRPr="0038072D">
              <w:rPr>
                <w:rFonts w:ascii="Arial Narrow" w:hAnsi="Arial Narrow" w:cs="Arial"/>
                <w:sz w:val="16"/>
                <w:szCs w:val="16"/>
              </w:rPr>
              <w:t>Upto</w:t>
            </w:r>
            <w:proofErr w:type="spellEnd"/>
            <w:r w:rsidR="00897C23">
              <w:rPr>
                <w:rFonts w:ascii="Arial Narrow" w:hAnsi="Arial Narrow" w:cs="Arial"/>
                <w:sz w:val="16"/>
                <w:szCs w:val="16"/>
              </w:rPr>
              <w:t xml:space="preserve"> </w:t>
            </w:r>
            <w:r w:rsidR="00245649" w:rsidRPr="0038072D">
              <w:rPr>
                <w:rFonts w:ascii="Arial Narrow" w:hAnsi="Arial Narrow" w:cs="Arial"/>
                <w:sz w:val="16"/>
                <w:szCs w:val="16"/>
              </w:rPr>
              <w:t>0</w:t>
            </w:r>
            <w:r w:rsidR="00292EA4" w:rsidRPr="0038072D">
              <w:rPr>
                <w:rFonts w:ascii="Arial Narrow" w:hAnsi="Arial Narrow" w:cs="Arial"/>
                <w:sz w:val="16"/>
                <w:szCs w:val="16"/>
              </w:rPr>
              <w:t>4</w:t>
            </w:r>
            <w:r w:rsidR="00245649" w:rsidRPr="0038072D">
              <w:rPr>
                <w:rFonts w:ascii="Arial Narrow" w:hAnsi="Arial Narrow" w:cs="Arial"/>
                <w:sz w:val="16"/>
                <w:szCs w:val="16"/>
              </w:rPr>
              <w:t>-</w:t>
            </w:r>
            <w:r w:rsidR="00292EA4" w:rsidRPr="0038072D">
              <w:rPr>
                <w:rFonts w:ascii="Arial Narrow" w:hAnsi="Arial Narrow" w:cs="Arial"/>
                <w:sz w:val="16"/>
                <w:szCs w:val="16"/>
              </w:rPr>
              <w:t>12</w:t>
            </w:r>
            <w:r w:rsidR="00245649" w:rsidRPr="0038072D">
              <w:rPr>
                <w:rFonts w:ascii="Arial Narrow" w:hAnsi="Arial Narrow" w:cs="Arial"/>
                <w:sz w:val="16"/>
                <w:szCs w:val="16"/>
              </w:rPr>
              <w:t>-2017</w:t>
            </w:r>
            <w:r w:rsidR="00897C23">
              <w:rPr>
                <w:rFonts w:ascii="Arial Narrow" w:hAnsi="Arial Narrow" w:cs="Arial"/>
                <w:sz w:val="16"/>
                <w:szCs w:val="16"/>
              </w:rPr>
              <w:t xml:space="preserve"> </w:t>
            </w:r>
            <w:r w:rsidRPr="0038072D">
              <w:rPr>
                <w:rFonts w:ascii="Arial Narrow" w:hAnsi="Arial Narrow" w:cs="Arial"/>
                <w:sz w:val="16"/>
                <w:szCs w:val="16"/>
              </w:rPr>
              <w:t>At 0</w:t>
            </w:r>
            <w:r w:rsidR="00245649" w:rsidRPr="0038072D">
              <w:rPr>
                <w:rFonts w:ascii="Arial Narrow" w:hAnsi="Arial Narrow" w:cs="Arial"/>
                <w:sz w:val="16"/>
                <w:szCs w:val="16"/>
              </w:rPr>
              <w:t>1</w:t>
            </w:r>
            <w:r w:rsidRPr="0038072D">
              <w:rPr>
                <w:rFonts w:ascii="Arial Narrow" w:hAnsi="Arial Narrow" w:cs="Arial"/>
                <w:sz w:val="16"/>
                <w:szCs w:val="16"/>
              </w:rPr>
              <w:t>:00 pm</w:t>
            </w:r>
          </w:p>
        </w:tc>
        <w:tc>
          <w:tcPr>
            <w:tcW w:w="3941" w:type="dxa"/>
            <w:vAlign w:val="center"/>
          </w:tcPr>
          <w:p w:rsidR="00FC35D7" w:rsidRPr="0038072D" w:rsidRDefault="00292EA4" w:rsidP="009F423D">
            <w:pPr>
              <w:pStyle w:val="NoSpacing"/>
              <w:ind w:left="-3"/>
              <w:jc w:val="center"/>
              <w:rPr>
                <w:rFonts w:ascii="Arial Narrow" w:hAnsi="Arial Narrow" w:cs="Arial"/>
                <w:sz w:val="16"/>
                <w:szCs w:val="16"/>
              </w:rPr>
            </w:pPr>
            <w:r w:rsidRPr="0038072D">
              <w:rPr>
                <w:rFonts w:ascii="Arial Narrow" w:hAnsi="Arial Narrow" w:cs="Arial"/>
                <w:sz w:val="16"/>
                <w:szCs w:val="16"/>
              </w:rPr>
              <w:t xml:space="preserve">Office of the Executive Engineer, SMBBT, Site Office </w:t>
            </w:r>
            <w:proofErr w:type="spellStart"/>
            <w:r w:rsidRPr="0038072D">
              <w:rPr>
                <w:rFonts w:ascii="Arial Narrow" w:hAnsi="Arial Narrow" w:cs="Arial"/>
                <w:sz w:val="16"/>
                <w:szCs w:val="16"/>
              </w:rPr>
              <w:t>Banglow</w:t>
            </w:r>
            <w:proofErr w:type="spellEnd"/>
            <w:r w:rsidRPr="0038072D">
              <w:rPr>
                <w:rFonts w:ascii="Arial Narrow" w:hAnsi="Arial Narrow" w:cs="Arial"/>
                <w:sz w:val="16"/>
                <w:szCs w:val="16"/>
              </w:rPr>
              <w:t xml:space="preserve"> No. C11, ADC, Colony </w:t>
            </w:r>
            <w:proofErr w:type="spellStart"/>
            <w:r w:rsidRPr="0038072D">
              <w:rPr>
                <w:rFonts w:ascii="Arial Narrow" w:hAnsi="Arial Narrow" w:cs="Arial"/>
                <w:sz w:val="16"/>
                <w:szCs w:val="16"/>
              </w:rPr>
              <w:t>Millatary</w:t>
            </w:r>
            <w:proofErr w:type="spellEnd"/>
            <w:r w:rsidRPr="0038072D">
              <w:rPr>
                <w:rFonts w:ascii="Arial Narrow" w:hAnsi="Arial Narrow" w:cs="Arial"/>
                <w:sz w:val="16"/>
                <w:szCs w:val="16"/>
              </w:rPr>
              <w:t xml:space="preserve"> Road, </w:t>
            </w:r>
            <w:proofErr w:type="spellStart"/>
            <w:r w:rsidRPr="0038072D">
              <w:rPr>
                <w:rFonts w:ascii="Arial Narrow" w:hAnsi="Arial Narrow" w:cs="Arial"/>
                <w:sz w:val="16"/>
                <w:szCs w:val="16"/>
              </w:rPr>
              <w:t>Sukkur</w:t>
            </w:r>
            <w:proofErr w:type="spellEnd"/>
          </w:p>
        </w:tc>
      </w:tr>
      <w:tr w:rsidR="00FC35D7" w:rsidRPr="0038072D" w:rsidTr="00897C23">
        <w:trPr>
          <w:trHeight w:val="332"/>
          <w:jc w:val="center"/>
        </w:trPr>
        <w:tc>
          <w:tcPr>
            <w:tcW w:w="683" w:type="dxa"/>
            <w:vAlign w:val="center"/>
          </w:tcPr>
          <w:p w:rsidR="00FC35D7" w:rsidRPr="0038072D" w:rsidRDefault="00FC35D7" w:rsidP="003E1120">
            <w:pPr>
              <w:pStyle w:val="NoSpacing"/>
              <w:jc w:val="center"/>
              <w:rPr>
                <w:rFonts w:ascii="Arial Narrow" w:hAnsi="Arial Narrow" w:cs="Arial"/>
                <w:b/>
                <w:sz w:val="16"/>
                <w:szCs w:val="16"/>
              </w:rPr>
            </w:pPr>
            <w:r w:rsidRPr="0038072D">
              <w:rPr>
                <w:rFonts w:ascii="Arial Narrow" w:hAnsi="Arial Narrow" w:cs="Arial"/>
                <w:b/>
                <w:sz w:val="16"/>
                <w:szCs w:val="16"/>
              </w:rPr>
              <w:t>3</w:t>
            </w:r>
          </w:p>
        </w:tc>
        <w:tc>
          <w:tcPr>
            <w:tcW w:w="2572" w:type="dxa"/>
            <w:vAlign w:val="center"/>
          </w:tcPr>
          <w:p w:rsidR="00FC35D7" w:rsidRPr="0038072D" w:rsidRDefault="00FC35D7" w:rsidP="003E1120">
            <w:pPr>
              <w:pStyle w:val="NoSpacing"/>
              <w:jc w:val="both"/>
              <w:rPr>
                <w:rFonts w:ascii="Arial Narrow" w:hAnsi="Arial Narrow" w:cs="Arial"/>
                <w:bCs/>
                <w:color w:val="000000" w:themeColor="text1"/>
                <w:sz w:val="16"/>
                <w:szCs w:val="16"/>
              </w:rPr>
            </w:pPr>
            <w:r w:rsidRPr="0038072D">
              <w:rPr>
                <w:rFonts w:ascii="Arial Narrow" w:hAnsi="Arial Narrow" w:cs="Arial"/>
                <w:bCs/>
                <w:color w:val="000000" w:themeColor="text1"/>
                <w:sz w:val="16"/>
                <w:szCs w:val="16"/>
              </w:rPr>
              <w:t>Opening of tender</w:t>
            </w:r>
          </w:p>
        </w:tc>
        <w:tc>
          <w:tcPr>
            <w:tcW w:w="3207" w:type="dxa"/>
            <w:vAlign w:val="center"/>
          </w:tcPr>
          <w:p w:rsidR="00FC35D7" w:rsidRPr="0038072D" w:rsidRDefault="00245649" w:rsidP="00897C23">
            <w:pPr>
              <w:jc w:val="center"/>
              <w:rPr>
                <w:rFonts w:ascii="Arial Narrow" w:hAnsi="Arial Narrow" w:cs="Arial"/>
                <w:sz w:val="16"/>
                <w:szCs w:val="16"/>
              </w:rPr>
            </w:pPr>
            <w:r w:rsidRPr="0038072D">
              <w:rPr>
                <w:rFonts w:ascii="Arial Narrow" w:hAnsi="Arial Narrow" w:cs="Arial"/>
                <w:sz w:val="16"/>
                <w:szCs w:val="16"/>
              </w:rPr>
              <w:t>0</w:t>
            </w:r>
            <w:r w:rsidR="00292EA4" w:rsidRPr="0038072D">
              <w:rPr>
                <w:rFonts w:ascii="Arial Narrow" w:hAnsi="Arial Narrow" w:cs="Arial"/>
                <w:sz w:val="16"/>
                <w:szCs w:val="16"/>
              </w:rPr>
              <w:t>4</w:t>
            </w:r>
            <w:r w:rsidRPr="0038072D">
              <w:rPr>
                <w:rFonts w:ascii="Arial Narrow" w:hAnsi="Arial Narrow" w:cs="Arial"/>
                <w:sz w:val="16"/>
                <w:szCs w:val="16"/>
              </w:rPr>
              <w:t>-</w:t>
            </w:r>
            <w:r w:rsidR="00292EA4" w:rsidRPr="0038072D">
              <w:rPr>
                <w:rFonts w:ascii="Arial Narrow" w:hAnsi="Arial Narrow" w:cs="Arial"/>
                <w:sz w:val="16"/>
                <w:szCs w:val="16"/>
              </w:rPr>
              <w:t>12</w:t>
            </w:r>
            <w:r w:rsidRPr="0038072D">
              <w:rPr>
                <w:rFonts w:ascii="Arial Narrow" w:hAnsi="Arial Narrow" w:cs="Arial"/>
                <w:sz w:val="16"/>
                <w:szCs w:val="16"/>
              </w:rPr>
              <w:t>-2017</w:t>
            </w:r>
            <w:r w:rsidR="00897C23">
              <w:rPr>
                <w:rFonts w:ascii="Arial Narrow" w:hAnsi="Arial Narrow" w:cs="Arial"/>
                <w:sz w:val="16"/>
                <w:szCs w:val="16"/>
              </w:rPr>
              <w:t xml:space="preserve"> </w:t>
            </w:r>
            <w:r w:rsidR="00FC35D7" w:rsidRPr="0038072D">
              <w:rPr>
                <w:rFonts w:ascii="Arial Narrow" w:hAnsi="Arial Narrow" w:cs="Arial"/>
                <w:sz w:val="16"/>
                <w:szCs w:val="16"/>
              </w:rPr>
              <w:t>At 02:</w:t>
            </w:r>
            <w:r w:rsidRPr="0038072D">
              <w:rPr>
                <w:rFonts w:ascii="Arial Narrow" w:hAnsi="Arial Narrow" w:cs="Arial"/>
                <w:sz w:val="16"/>
                <w:szCs w:val="16"/>
              </w:rPr>
              <w:t>0</w:t>
            </w:r>
            <w:r w:rsidR="00FC35D7" w:rsidRPr="0038072D">
              <w:rPr>
                <w:rFonts w:ascii="Arial Narrow" w:hAnsi="Arial Narrow" w:cs="Arial"/>
                <w:sz w:val="16"/>
                <w:szCs w:val="16"/>
              </w:rPr>
              <w:t>0 pm</w:t>
            </w:r>
          </w:p>
        </w:tc>
        <w:tc>
          <w:tcPr>
            <w:tcW w:w="3941" w:type="dxa"/>
            <w:vAlign w:val="center"/>
          </w:tcPr>
          <w:p w:rsidR="00FC35D7" w:rsidRPr="0038072D" w:rsidRDefault="00292EA4" w:rsidP="009F423D">
            <w:pPr>
              <w:pStyle w:val="NoSpacing"/>
              <w:ind w:left="-3"/>
              <w:jc w:val="center"/>
              <w:rPr>
                <w:rFonts w:ascii="Arial Narrow" w:hAnsi="Arial Narrow" w:cs="Arial"/>
                <w:sz w:val="16"/>
                <w:szCs w:val="16"/>
              </w:rPr>
            </w:pPr>
            <w:r w:rsidRPr="0038072D">
              <w:rPr>
                <w:rFonts w:ascii="Arial Narrow" w:hAnsi="Arial Narrow" w:cs="Arial"/>
                <w:sz w:val="16"/>
                <w:szCs w:val="16"/>
              </w:rPr>
              <w:t xml:space="preserve">Office of the Executive Engineer, SMBBT, Site Office </w:t>
            </w:r>
            <w:proofErr w:type="spellStart"/>
            <w:r w:rsidRPr="0038072D">
              <w:rPr>
                <w:rFonts w:ascii="Arial Narrow" w:hAnsi="Arial Narrow" w:cs="Arial"/>
                <w:sz w:val="16"/>
                <w:szCs w:val="16"/>
              </w:rPr>
              <w:t>Banglow</w:t>
            </w:r>
            <w:proofErr w:type="spellEnd"/>
            <w:r w:rsidRPr="0038072D">
              <w:rPr>
                <w:rFonts w:ascii="Arial Narrow" w:hAnsi="Arial Narrow" w:cs="Arial"/>
                <w:sz w:val="16"/>
                <w:szCs w:val="16"/>
              </w:rPr>
              <w:t xml:space="preserve"> No. C11, ADC, Colony </w:t>
            </w:r>
            <w:proofErr w:type="spellStart"/>
            <w:r w:rsidRPr="0038072D">
              <w:rPr>
                <w:rFonts w:ascii="Arial Narrow" w:hAnsi="Arial Narrow" w:cs="Arial"/>
                <w:sz w:val="16"/>
                <w:szCs w:val="16"/>
              </w:rPr>
              <w:t>Millatary</w:t>
            </w:r>
            <w:proofErr w:type="spellEnd"/>
            <w:r w:rsidRPr="0038072D">
              <w:rPr>
                <w:rFonts w:ascii="Arial Narrow" w:hAnsi="Arial Narrow" w:cs="Arial"/>
                <w:sz w:val="16"/>
                <w:szCs w:val="16"/>
              </w:rPr>
              <w:t xml:space="preserve"> Road, </w:t>
            </w:r>
            <w:proofErr w:type="spellStart"/>
            <w:r w:rsidRPr="0038072D">
              <w:rPr>
                <w:rFonts w:ascii="Arial Narrow" w:hAnsi="Arial Narrow" w:cs="Arial"/>
                <w:sz w:val="16"/>
                <w:szCs w:val="16"/>
              </w:rPr>
              <w:t>Sukkur</w:t>
            </w:r>
            <w:proofErr w:type="spellEnd"/>
          </w:p>
        </w:tc>
      </w:tr>
    </w:tbl>
    <w:p w:rsidR="00FC35D7" w:rsidRPr="008C2E4E" w:rsidRDefault="00FC35D7" w:rsidP="009E1F40">
      <w:pPr>
        <w:pStyle w:val="NoSpacing"/>
        <w:jc w:val="center"/>
        <w:rPr>
          <w:rFonts w:ascii="Arial Narrow" w:hAnsi="Arial Narrow" w:cs="Arial"/>
          <w:sz w:val="10"/>
          <w:szCs w:val="20"/>
          <w:u w:val="single"/>
        </w:rPr>
      </w:pPr>
    </w:p>
    <w:p w:rsidR="009E1F40" w:rsidRPr="0046639F" w:rsidRDefault="009E1F40" w:rsidP="009E1F40">
      <w:pPr>
        <w:pStyle w:val="NoSpacing"/>
        <w:jc w:val="center"/>
        <w:rPr>
          <w:rFonts w:ascii="Arial Narrow" w:hAnsi="Arial Narrow" w:cs="Arial"/>
          <w:b/>
          <w:sz w:val="16"/>
          <w:szCs w:val="16"/>
          <w:u w:val="single"/>
        </w:rPr>
      </w:pPr>
      <w:r w:rsidRPr="0046639F">
        <w:rPr>
          <w:rFonts w:ascii="Arial Narrow" w:hAnsi="Arial Narrow" w:cs="Arial"/>
          <w:b/>
          <w:sz w:val="16"/>
          <w:szCs w:val="16"/>
          <w:u w:val="single"/>
        </w:rPr>
        <w:t>TERMS &amp; CONDITIONS</w:t>
      </w:r>
    </w:p>
    <w:p w:rsidR="009E1F40" w:rsidRPr="006B2532" w:rsidRDefault="009E1F40" w:rsidP="009E1F40">
      <w:pPr>
        <w:pStyle w:val="NoSpacing"/>
        <w:rPr>
          <w:rFonts w:ascii="Arial Narrow" w:hAnsi="Arial Narrow" w:cs="Arial"/>
          <w:sz w:val="10"/>
          <w:szCs w:val="20"/>
          <w:u w:val="single"/>
        </w:rPr>
      </w:pPr>
    </w:p>
    <w:p w:rsidR="008F387F" w:rsidRPr="00FA12E8" w:rsidRDefault="008F387F" w:rsidP="008F387F">
      <w:pPr>
        <w:pStyle w:val="NoSpacing"/>
        <w:numPr>
          <w:ilvl w:val="0"/>
          <w:numId w:val="1"/>
        </w:numPr>
        <w:ind w:left="360"/>
        <w:jc w:val="both"/>
        <w:rPr>
          <w:rFonts w:ascii="Arial Narrow" w:hAnsi="Arial Narrow" w:cs="Arial"/>
          <w:color w:val="000000" w:themeColor="text1"/>
          <w:sz w:val="14"/>
          <w:szCs w:val="14"/>
        </w:rPr>
      </w:pPr>
      <w:r w:rsidRPr="00FA12E8">
        <w:rPr>
          <w:rFonts w:ascii="Arial Narrow" w:hAnsi="Arial Narrow" w:cs="Arial"/>
          <w:color w:val="000000" w:themeColor="text1"/>
          <w:sz w:val="14"/>
          <w:szCs w:val="14"/>
        </w:rPr>
        <w:t>The tender documents will be issued to the contractors on submission of written request on letterheads</w:t>
      </w:r>
      <w:r w:rsidR="00A73457" w:rsidRPr="00FA12E8">
        <w:rPr>
          <w:rFonts w:ascii="Arial Narrow" w:hAnsi="Arial Narrow" w:cs="Arial"/>
          <w:color w:val="000000" w:themeColor="text1"/>
          <w:sz w:val="14"/>
          <w:szCs w:val="14"/>
        </w:rPr>
        <w:t xml:space="preserve"> </w:t>
      </w:r>
      <w:proofErr w:type="spellStart"/>
      <w:r w:rsidR="00A73457" w:rsidRPr="00FA12E8">
        <w:rPr>
          <w:rFonts w:ascii="Arial Narrow" w:hAnsi="Arial Narrow" w:cs="Arial"/>
          <w:color w:val="000000" w:themeColor="text1"/>
          <w:sz w:val="14"/>
          <w:szCs w:val="14"/>
        </w:rPr>
        <w:t>alongwith</w:t>
      </w:r>
      <w:proofErr w:type="spellEnd"/>
      <w:r w:rsidR="00A73457" w:rsidRPr="00FA12E8">
        <w:rPr>
          <w:rFonts w:ascii="Arial Narrow" w:hAnsi="Arial Narrow" w:cs="Arial"/>
          <w:color w:val="000000" w:themeColor="text1"/>
          <w:sz w:val="14"/>
          <w:szCs w:val="14"/>
        </w:rPr>
        <w:t xml:space="preserve"> showing original documents mentioned in eligibility criteria</w:t>
      </w:r>
      <w:r w:rsidRPr="00FA12E8">
        <w:rPr>
          <w:rFonts w:ascii="Arial Narrow" w:hAnsi="Arial Narrow" w:cs="Arial"/>
          <w:color w:val="000000" w:themeColor="text1"/>
          <w:sz w:val="14"/>
          <w:szCs w:val="14"/>
        </w:rPr>
        <w:t xml:space="preserve"> and on payment of non-refundable cost of tender through </w:t>
      </w:r>
      <w:proofErr w:type="spellStart"/>
      <w:r w:rsidRPr="00FA12E8">
        <w:rPr>
          <w:rFonts w:ascii="Arial Narrow" w:hAnsi="Arial Narrow" w:cs="Arial"/>
          <w:color w:val="000000" w:themeColor="text1"/>
          <w:sz w:val="14"/>
          <w:szCs w:val="14"/>
        </w:rPr>
        <w:t>challan</w:t>
      </w:r>
      <w:proofErr w:type="spellEnd"/>
      <w:r w:rsidRPr="00FA12E8">
        <w:rPr>
          <w:rFonts w:ascii="Arial Narrow" w:hAnsi="Arial Narrow" w:cs="Arial"/>
          <w:color w:val="000000" w:themeColor="text1"/>
          <w:sz w:val="14"/>
          <w:szCs w:val="14"/>
        </w:rPr>
        <w:t xml:space="preserve"> from schedule Bank in </w:t>
      </w:r>
      <w:proofErr w:type="spellStart"/>
      <w:r w:rsidRPr="00FA12E8">
        <w:rPr>
          <w:rFonts w:ascii="Arial Narrow" w:hAnsi="Arial Narrow" w:cs="Arial"/>
          <w:color w:val="000000" w:themeColor="text1"/>
          <w:sz w:val="14"/>
          <w:szCs w:val="14"/>
        </w:rPr>
        <w:t>favour</w:t>
      </w:r>
      <w:proofErr w:type="spellEnd"/>
      <w:r w:rsidRPr="00FA12E8">
        <w:rPr>
          <w:rFonts w:ascii="Arial Narrow" w:hAnsi="Arial Narrow" w:cs="Arial"/>
          <w:color w:val="000000" w:themeColor="text1"/>
          <w:sz w:val="14"/>
          <w:szCs w:val="14"/>
        </w:rPr>
        <w:t xml:space="preserve"> of “</w:t>
      </w:r>
      <w:proofErr w:type="spellStart"/>
      <w:r w:rsidRPr="00FA12E8">
        <w:rPr>
          <w:rFonts w:ascii="Arial Narrow" w:hAnsi="Arial Narrow" w:cs="Arial"/>
          <w:color w:val="000000" w:themeColor="text1"/>
          <w:sz w:val="14"/>
          <w:szCs w:val="14"/>
        </w:rPr>
        <w:t>Shaheed</w:t>
      </w:r>
      <w:proofErr w:type="spellEnd"/>
      <w:r w:rsidRPr="00FA12E8">
        <w:rPr>
          <w:rFonts w:ascii="Arial Narrow" w:hAnsi="Arial Narrow" w:cs="Arial"/>
          <w:color w:val="000000" w:themeColor="text1"/>
          <w:sz w:val="14"/>
          <w:szCs w:val="14"/>
        </w:rPr>
        <w:t xml:space="preserve"> </w:t>
      </w:r>
      <w:proofErr w:type="spellStart"/>
      <w:r w:rsidRPr="00FA12E8">
        <w:rPr>
          <w:rFonts w:ascii="Arial Narrow" w:hAnsi="Arial Narrow" w:cs="Arial"/>
          <w:color w:val="000000" w:themeColor="text1"/>
          <w:sz w:val="14"/>
          <w:szCs w:val="14"/>
        </w:rPr>
        <w:t>Mohtarma</w:t>
      </w:r>
      <w:proofErr w:type="spellEnd"/>
      <w:r w:rsidRPr="00FA12E8">
        <w:rPr>
          <w:rFonts w:ascii="Arial Narrow" w:hAnsi="Arial Narrow" w:cs="Arial"/>
          <w:color w:val="000000" w:themeColor="text1"/>
          <w:sz w:val="14"/>
          <w:szCs w:val="14"/>
        </w:rPr>
        <w:t xml:space="preserve"> Benazir Bhutto Town”. Bid Security in shape of pay order/bank guarantee from any schedule bank in favor of “</w:t>
      </w:r>
      <w:proofErr w:type="spellStart"/>
      <w:r w:rsidRPr="00FA12E8">
        <w:rPr>
          <w:rFonts w:ascii="Arial Narrow" w:hAnsi="Arial Narrow" w:cs="Arial"/>
          <w:color w:val="000000" w:themeColor="text1"/>
          <w:sz w:val="14"/>
          <w:szCs w:val="14"/>
        </w:rPr>
        <w:t>Shaheed</w:t>
      </w:r>
      <w:proofErr w:type="spellEnd"/>
      <w:r w:rsidRPr="00FA12E8">
        <w:rPr>
          <w:rFonts w:ascii="Arial Narrow" w:hAnsi="Arial Narrow" w:cs="Arial"/>
          <w:color w:val="000000" w:themeColor="text1"/>
          <w:sz w:val="14"/>
          <w:szCs w:val="14"/>
        </w:rPr>
        <w:t xml:space="preserve"> </w:t>
      </w:r>
      <w:proofErr w:type="spellStart"/>
      <w:r w:rsidRPr="00FA12E8">
        <w:rPr>
          <w:rFonts w:ascii="Arial Narrow" w:hAnsi="Arial Narrow" w:cs="Arial"/>
          <w:color w:val="000000" w:themeColor="text1"/>
          <w:sz w:val="14"/>
          <w:szCs w:val="14"/>
        </w:rPr>
        <w:t>Mohtarma</w:t>
      </w:r>
      <w:proofErr w:type="spellEnd"/>
      <w:r w:rsidRPr="00FA12E8">
        <w:rPr>
          <w:rFonts w:ascii="Arial Narrow" w:hAnsi="Arial Narrow" w:cs="Arial"/>
          <w:color w:val="000000" w:themeColor="text1"/>
          <w:sz w:val="14"/>
          <w:szCs w:val="14"/>
        </w:rPr>
        <w:t xml:space="preserve"> Benazir Bhutto Town” as mentioned above should be enclosed with the bid otherwise the tender will be rejected. No tender will be sold on the tender opening date. The tender documents are also available on SPPRA’s website (</w:t>
      </w:r>
      <w:hyperlink r:id="rId10" w:history="1">
        <w:r w:rsidRPr="00FA12E8">
          <w:rPr>
            <w:rStyle w:val="Hyperlink"/>
            <w:rFonts w:ascii="Arial Narrow" w:hAnsi="Arial Narrow" w:cs="Arial"/>
            <w:sz w:val="14"/>
            <w:szCs w:val="14"/>
          </w:rPr>
          <w:t>www.pprasindh.gov.pk</w:t>
        </w:r>
      </w:hyperlink>
      <w:r w:rsidRPr="00FA12E8">
        <w:rPr>
          <w:rFonts w:ascii="Arial Narrow" w:hAnsi="Arial Narrow" w:cs="Arial"/>
          <w:color w:val="000000" w:themeColor="text1"/>
          <w:sz w:val="14"/>
          <w:szCs w:val="14"/>
        </w:rPr>
        <w:t>).</w:t>
      </w:r>
    </w:p>
    <w:p w:rsidR="008F387F" w:rsidRPr="00897C23" w:rsidRDefault="008F387F" w:rsidP="008F387F">
      <w:pPr>
        <w:pStyle w:val="ListParagraph"/>
        <w:rPr>
          <w:rFonts w:ascii="Arial Narrow" w:hAnsi="Arial Narrow" w:cs="Arial"/>
          <w:color w:val="000000" w:themeColor="text1"/>
          <w:sz w:val="4"/>
          <w:szCs w:val="14"/>
        </w:rPr>
      </w:pPr>
    </w:p>
    <w:p w:rsidR="008F387F" w:rsidRPr="00FA12E8" w:rsidRDefault="008F387F" w:rsidP="008F387F">
      <w:pPr>
        <w:pStyle w:val="NoSpacing"/>
        <w:numPr>
          <w:ilvl w:val="0"/>
          <w:numId w:val="1"/>
        </w:numPr>
        <w:ind w:left="360"/>
        <w:jc w:val="both"/>
        <w:rPr>
          <w:rFonts w:ascii="Arial Narrow" w:hAnsi="Arial Narrow" w:cs="Arial"/>
          <w:color w:val="000000" w:themeColor="text1"/>
          <w:sz w:val="14"/>
          <w:szCs w:val="14"/>
        </w:rPr>
      </w:pPr>
      <w:r w:rsidRPr="00FA12E8">
        <w:rPr>
          <w:rFonts w:ascii="Arial Narrow" w:hAnsi="Arial Narrow" w:cs="Arial"/>
          <w:color w:val="000000" w:themeColor="text1"/>
          <w:sz w:val="14"/>
          <w:szCs w:val="14"/>
        </w:rPr>
        <w:t>In case the date of opening or last date of sale of tender is declared as a public holiday by the Government or non-working day due to any reason, the next working day(s) shall be deemed to be the date for last date of sale and submission and opening of tenders accordingly. The time and venue shall remain same.</w:t>
      </w:r>
    </w:p>
    <w:p w:rsidR="00413911" w:rsidRPr="00897C23" w:rsidRDefault="00413911" w:rsidP="00413911">
      <w:pPr>
        <w:pStyle w:val="ListParagraph"/>
        <w:rPr>
          <w:rFonts w:ascii="Arial Narrow" w:hAnsi="Arial Narrow" w:cs="Arial"/>
          <w:color w:val="000000" w:themeColor="text1"/>
          <w:sz w:val="4"/>
          <w:szCs w:val="14"/>
        </w:rPr>
      </w:pPr>
    </w:p>
    <w:p w:rsidR="00413911" w:rsidRPr="00FA12E8" w:rsidRDefault="00413911" w:rsidP="008F387F">
      <w:pPr>
        <w:pStyle w:val="NoSpacing"/>
        <w:numPr>
          <w:ilvl w:val="0"/>
          <w:numId w:val="1"/>
        </w:numPr>
        <w:ind w:left="360"/>
        <w:jc w:val="both"/>
        <w:rPr>
          <w:rFonts w:ascii="Arial Narrow" w:hAnsi="Arial Narrow" w:cs="Arial"/>
          <w:color w:val="000000" w:themeColor="text1"/>
          <w:sz w:val="14"/>
          <w:szCs w:val="14"/>
        </w:rPr>
      </w:pPr>
      <w:r w:rsidRPr="00FA12E8">
        <w:rPr>
          <w:rFonts w:ascii="Arial Narrow" w:hAnsi="Arial Narrow" w:cs="Arial"/>
          <w:color w:val="000000" w:themeColor="text1"/>
          <w:sz w:val="14"/>
          <w:szCs w:val="14"/>
        </w:rPr>
        <w:t xml:space="preserve">The total bid amount as well as the rates of items must be filled both in figures and words and in case any correction is made by the contractor then each correction must be initialed by the </w:t>
      </w:r>
      <w:proofErr w:type="gramStart"/>
      <w:r w:rsidRPr="00FA12E8">
        <w:rPr>
          <w:rFonts w:ascii="Arial Narrow" w:hAnsi="Arial Narrow" w:cs="Arial"/>
          <w:color w:val="000000" w:themeColor="text1"/>
          <w:sz w:val="14"/>
          <w:szCs w:val="14"/>
        </w:rPr>
        <w:t>Contractor,</w:t>
      </w:r>
      <w:proofErr w:type="gramEnd"/>
      <w:r w:rsidRPr="00FA12E8">
        <w:rPr>
          <w:rFonts w:ascii="Arial Narrow" w:hAnsi="Arial Narrow" w:cs="Arial"/>
          <w:color w:val="000000" w:themeColor="text1"/>
          <w:sz w:val="14"/>
          <w:szCs w:val="14"/>
        </w:rPr>
        <w:t xml:space="preserve"> otherwise the tender is liable to be summarily rejected.</w:t>
      </w:r>
    </w:p>
    <w:p w:rsidR="008E0D28" w:rsidRPr="00897C23" w:rsidRDefault="008E0D28" w:rsidP="008E0D28">
      <w:pPr>
        <w:pStyle w:val="ListParagraph"/>
        <w:rPr>
          <w:rFonts w:ascii="Arial Narrow" w:hAnsi="Arial Narrow" w:cs="Arial"/>
          <w:color w:val="000000" w:themeColor="text1"/>
          <w:sz w:val="4"/>
          <w:szCs w:val="14"/>
        </w:rPr>
      </w:pPr>
    </w:p>
    <w:p w:rsidR="008E0D28" w:rsidRPr="00FA12E8" w:rsidRDefault="008E0D28" w:rsidP="008F387F">
      <w:pPr>
        <w:pStyle w:val="NoSpacing"/>
        <w:numPr>
          <w:ilvl w:val="0"/>
          <w:numId w:val="1"/>
        </w:numPr>
        <w:ind w:left="360"/>
        <w:jc w:val="both"/>
        <w:rPr>
          <w:rFonts w:ascii="Arial Narrow" w:hAnsi="Arial Narrow" w:cs="Arial"/>
          <w:color w:val="000000" w:themeColor="text1"/>
          <w:sz w:val="14"/>
          <w:szCs w:val="14"/>
        </w:rPr>
      </w:pPr>
      <w:r w:rsidRPr="00FA12E8">
        <w:rPr>
          <w:rFonts w:ascii="Arial Narrow" w:hAnsi="Arial Narrow" w:cs="Arial"/>
          <w:b/>
          <w:color w:val="000000" w:themeColor="text1"/>
          <w:sz w:val="14"/>
          <w:szCs w:val="14"/>
          <w:u w:val="single"/>
        </w:rPr>
        <w:t>Substantially Responsive Bid:-</w:t>
      </w:r>
    </w:p>
    <w:p w:rsidR="008E0D28" w:rsidRPr="00FA12E8" w:rsidRDefault="008E0D28" w:rsidP="008E0D28">
      <w:pPr>
        <w:ind w:left="360"/>
        <w:jc w:val="both"/>
        <w:rPr>
          <w:rFonts w:ascii="Arial Narrow" w:hAnsi="Arial Narrow" w:cs="Arial"/>
          <w:color w:val="000000" w:themeColor="text1"/>
          <w:sz w:val="14"/>
          <w:szCs w:val="14"/>
        </w:rPr>
      </w:pPr>
      <w:r w:rsidRPr="00FA12E8">
        <w:rPr>
          <w:rFonts w:ascii="Arial Narrow" w:hAnsi="Arial Narrow" w:cs="Arial"/>
          <w:color w:val="000000" w:themeColor="text1"/>
          <w:sz w:val="14"/>
          <w:szCs w:val="14"/>
        </w:rPr>
        <w:t>Only those bids, which comply with the entire eligibility criteria as well as minimum qualification criteria attached with the tender documents shall be declared substantially</w:t>
      </w:r>
      <w:r w:rsidR="00927799" w:rsidRPr="00FA12E8">
        <w:rPr>
          <w:rFonts w:ascii="Arial Narrow" w:hAnsi="Arial Narrow" w:cs="Arial"/>
          <w:color w:val="000000" w:themeColor="text1"/>
          <w:sz w:val="14"/>
          <w:szCs w:val="14"/>
        </w:rPr>
        <w:t xml:space="preserve"> responsive bids at the time of tender opening and will be eligible for further evaluation, otherwise t</w:t>
      </w:r>
      <w:r w:rsidR="002104F1">
        <w:rPr>
          <w:rFonts w:ascii="Arial Narrow" w:hAnsi="Arial Narrow" w:cs="Arial"/>
          <w:color w:val="000000" w:themeColor="text1"/>
          <w:sz w:val="14"/>
          <w:szCs w:val="14"/>
        </w:rPr>
        <w:t>he same will be declared as non-</w:t>
      </w:r>
      <w:r w:rsidR="00927799" w:rsidRPr="00FA12E8">
        <w:rPr>
          <w:rFonts w:ascii="Arial Narrow" w:hAnsi="Arial Narrow" w:cs="Arial"/>
          <w:color w:val="000000" w:themeColor="text1"/>
          <w:sz w:val="14"/>
          <w:szCs w:val="14"/>
        </w:rPr>
        <w:t>responsive / rejected.</w:t>
      </w:r>
      <w:r w:rsidRPr="00FA12E8">
        <w:rPr>
          <w:rFonts w:ascii="Arial Narrow" w:hAnsi="Arial Narrow" w:cs="Arial"/>
          <w:color w:val="000000" w:themeColor="text1"/>
          <w:sz w:val="14"/>
          <w:szCs w:val="14"/>
        </w:rPr>
        <w:t xml:space="preserve"> </w:t>
      </w:r>
    </w:p>
    <w:p w:rsidR="008F387F" w:rsidRPr="00897C23" w:rsidRDefault="008F387F" w:rsidP="008F387F">
      <w:pPr>
        <w:pStyle w:val="ListParagraph"/>
        <w:rPr>
          <w:rFonts w:ascii="Arial Narrow" w:hAnsi="Arial Narrow" w:cs="Arial"/>
          <w:color w:val="000000" w:themeColor="text1"/>
          <w:sz w:val="4"/>
          <w:szCs w:val="14"/>
        </w:rPr>
      </w:pPr>
    </w:p>
    <w:p w:rsidR="00BD1944" w:rsidRPr="00FA12E8" w:rsidRDefault="00BD1944" w:rsidP="001918A3">
      <w:pPr>
        <w:pStyle w:val="NoSpacing"/>
        <w:numPr>
          <w:ilvl w:val="0"/>
          <w:numId w:val="1"/>
        </w:numPr>
        <w:ind w:left="360"/>
        <w:jc w:val="both"/>
        <w:rPr>
          <w:rFonts w:ascii="Arial Narrow" w:hAnsi="Arial Narrow" w:cs="Arial"/>
          <w:color w:val="000000" w:themeColor="text1"/>
          <w:sz w:val="14"/>
          <w:szCs w:val="14"/>
        </w:rPr>
      </w:pPr>
      <w:r w:rsidRPr="00FA12E8">
        <w:rPr>
          <w:rFonts w:ascii="Arial Narrow" w:hAnsi="Arial Narrow" w:cs="Arial"/>
          <w:color w:val="000000" w:themeColor="text1"/>
          <w:sz w:val="14"/>
          <w:szCs w:val="14"/>
        </w:rPr>
        <w:t xml:space="preserve">The bidders are required to submit the above information, </w:t>
      </w:r>
      <w:r w:rsidR="00767928" w:rsidRPr="00FA12E8">
        <w:rPr>
          <w:rFonts w:ascii="Arial Narrow" w:hAnsi="Arial Narrow" w:cs="Arial"/>
          <w:color w:val="000000" w:themeColor="text1"/>
          <w:sz w:val="14"/>
          <w:szCs w:val="14"/>
        </w:rPr>
        <w:t>along with</w:t>
      </w:r>
      <w:r w:rsidRPr="00FA12E8">
        <w:rPr>
          <w:rFonts w:ascii="Arial Narrow" w:hAnsi="Arial Narrow" w:cs="Arial"/>
          <w:color w:val="000000" w:themeColor="text1"/>
          <w:sz w:val="14"/>
          <w:szCs w:val="14"/>
        </w:rPr>
        <w:t xml:space="preserve"> signed evidence against evaluation criteria their bids. Joint Venture between tw</w:t>
      </w:r>
      <w:r w:rsidR="00515F8F" w:rsidRPr="00FA12E8">
        <w:rPr>
          <w:rFonts w:ascii="Arial Narrow" w:hAnsi="Arial Narrow" w:cs="Arial"/>
          <w:color w:val="000000" w:themeColor="text1"/>
          <w:sz w:val="14"/>
          <w:szCs w:val="14"/>
        </w:rPr>
        <w:t>o</w:t>
      </w:r>
      <w:r w:rsidRPr="00FA12E8">
        <w:rPr>
          <w:rFonts w:ascii="Arial Narrow" w:hAnsi="Arial Narrow" w:cs="Arial"/>
          <w:color w:val="000000" w:themeColor="text1"/>
          <w:sz w:val="14"/>
          <w:szCs w:val="14"/>
        </w:rPr>
        <w:t xml:space="preserve"> or more firms </w:t>
      </w:r>
      <w:r w:rsidR="00515F8F" w:rsidRPr="00FA12E8">
        <w:rPr>
          <w:rFonts w:ascii="Arial Narrow" w:hAnsi="Arial Narrow" w:cs="Arial"/>
          <w:color w:val="000000" w:themeColor="text1"/>
          <w:sz w:val="14"/>
          <w:szCs w:val="14"/>
        </w:rPr>
        <w:t>i</w:t>
      </w:r>
      <w:r w:rsidRPr="00FA12E8">
        <w:rPr>
          <w:rFonts w:ascii="Arial Narrow" w:hAnsi="Arial Narrow" w:cs="Arial"/>
          <w:color w:val="000000" w:themeColor="text1"/>
          <w:sz w:val="14"/>
          <w:szCs w:val="14"/>
        </w:rPr>
        <w:t>s also allowed subject to compliance of stipulated rules of PEC.</w:t>
      </w:r>
    </w:p>
    <w:p w:rsidR="00BD1944" w:rsidRPr="00897C23" w:rsidRDefault="00BD1944" w:rsidP="00B131B0">
      <w:pPr>
        <w:pStyle w:val="NoSpacing"/>
        <w:jc w:val="both"/>
        <w:rPr>
          <w:rFonts w:ascii="Arial Narrow" w:hAnsi="Arial Narrow" w:cs="Arial"/>
          <w:color w:val="000000" w:themeColor="text1"/>
          <w:sz w:val="4"/>
          <w:szCs w:val="14"/>
        </w:rPr>
      </w:pPr>
    </w:p>
    <w:p w:rsidR="00B131B0" w:rsidRPr="00FA12E8" w:rsidRDefault="00B131B0" w:rsidP="001918A3">
      <w:pPr>
        <w:pStyle w:val="NoSpacing"/>
        <w:numPr>
          <w:ilvl w:val="0"/>
          <w:numId w:val="1"/>
        </w:numPr>
        <w:ind w:left="360"/>
        <w:jc w:val="both"/>
        <w:rPr>
          <w:rFonts w:ascii="Arial Narrow" w:hAnsi="Arial Narrow" w:cs="Arial"/>
          <w:color w:val="000000" w:themeColor="text1"/>
          <w:sz w:val="14"/>
          <w:szCs w:val="14"/>
        </w:rPr>
      </w:pPr>
      <w:r w:rsidRPr="00FA12E8">
        <w:rPr>
          <w:rFonts w:ascii="Arial Narrow" w:hAnsi="Arial Narrow" w:cs="Arial"/>
          <w:color w:val="000000" w:themeColor="text1"/>
          <w:sz w:val="14"/>
          <w:szCs w:val="14"/>
        </w:rPr>
        <w:t>If any fake documents are found then the tender is liable to be rejected/cancelled without any compensation and with penalty as per rules.</w:t>
      </w:r>
    </w:p>
    <w:p w:rsidR="00B131B0" w:rsidRPr="00897C23" w:rsidRDefault="00B131B0" w:rsidP="00B131B0">
      <w:pPr>
        <w:pStyle w:val="ListParagraph"/>
        <w:rPr>
          <w:rFonts w:ascii="Arial Narrow" w:hAnsi="Arial Narrow" w:cs="Arial"/>
          <w:color w:val="000000" w:themeColor="text1"/>
          <w:sz w:val="4"/>
          <w:szCs w:val="14"/>
        </w:rPr>
      </w:pPr>
    </w:p>
    <w:p w:rsidR="00B131B0" w:rsidRPr="00FA12E8" w:rsidRDefault="00B131B0" w:rsidP="001918A3">
      <w:pPr>
        <w:pStyle w:val="NoSpacing"/>
        <w:numPr>
          <w:ilvl w:val="0"/>
          <w:numId w:val="1"/>
        </w:numPr>
        <w:ind w:left="360"/>
        <w:jc w:val="both"/>
        <w:rPr>
          <w:rFonts w:ascii="Arial Narrow" w:hAnsi="Arial Narrow" w:cs="Arial"/>
          <w:color w:val="000000" w:themeColor="text1"/>
          <w:sz w:val="14"/>
          <w:szCs w:val="14"/>
        </w:rPr>
      </w:pPr>
      <w:r w:rsidRPr="00FA12E8">
        <w:rPr>
          <w:rFonts w:ascii="Arial Narrow" w:hAnsi="Arial Narrow" w:cs="Arial"/>
          <w:color w:val="000000" w:themeColor="text1"/>
          <w:sz w:val="14"/>
          <w:szCs w:val="14"/>
        </w:rPr>
        <w:t>Canvassing in connection with tender</w:t>
      </w:r>
      <w:r w:rsidR="00CF311B" w:rsidRPr="00FA12E8">
        <w:rPr>
          <w:rFonts w:ascii="Arial Narrow" w:hAnsi="Arial Narrow" w:cs="Arial"/>
          <w:color w:val="000000" w:themeColor="text1"/>
          <w:sz w:val="14"/>
          <w:szCs w:val="14"/>
        </w:rPr>
        <w:t>s is strictly prohibited and tenders submitted by the contractors who are reported canvassing will be liable for rejection.</w:t>
      </w:r>
    </w:p>
    <w:p w:rsidR="00F12B5B" w:rsidRPr="00897C23" w:rsidRDefault="00F12B5B" w:rsidP="00F12B5B">
      <w:pPr>
        <w:pStyle w:val="ListParagraph"/>
        <w:rPr>
          <w:rFonts w:ascii="Arial Narrow" w:hAnsi="Arial Narrow" w:cs="Arial"/>
          <w:color w:val="000000" w:themeColor="text1"/>
          <w:sz w:val="4"/>
          <w:szCs w:val="14"/>
        </w:rPr>
      </w:pPr>
    </w:p>
    <w:p w:rsidR="00F12B5B" w:rsidRPr="00FA12E8" w:rsidRDefault="00F12B5B" w:rsidP="001918A3">
      <w:pPr>
        <w:pStyle w:val="NoSpacing"/>
        <w:numPr>
          <w:ilvl w:val="0"/>
          <w:numId w:val="1"/>
        </w:numPr>
        <w:ind w:left="360"/>
        <w:jc w:val="both"/>
        <w:rPr>
          <w:rFonts w:ascii="Arial Narrow" w:hAnsi="Arial Narrow" w:cs="Arial"/>
          <w:color w:val="000000" w:themeColor="text1"/>
          <w:sz w:val="14"/>
          <w:szCs w:val="14"/>
        </w:rPr>
      </w:pPr>
      <w:r w:rsidRPr="00FA12E8">
        <w:rPr>
          <w:rFonts w:ascii="Arial Narrow" w:hAnsi="Arial Narrow" w:cs="Arial"/>
          <w:color w:val="000000" w:themeColor="text1"/>
          <w:sz w:val="14"/>
          <w:szCs w:val="14"/>
        </w:rPr>
        <w:t>If a bidder submits a seriously unbalanced bid then they may be required to deposit extra performance security to a level sufficient to protect the procuring agency against financial losses, failing which their bid will be either rejected or the bid security be forfeited as deemed appropriate by procuring agency.</w:t>
      </w:r>
    </w:p>
    <w:p w:rsidR="00F12B5B" w:rsidRPr="00897C23" w:rsidRDefault="00F12B5B" w:rsidP="00F12B5B">
      <w:pPr>
        <w:pStyle w:val="ListParagraph"/>
        <w:rPr>
          <w:rFonts w:ascii="Arial Narrow" w:hAnsi="Arial Narrow" w:cs="Arial"/>
          <w:color w:val="000000" w:themeColor="text1"/>
          <w:sz w:val="4"/>
          <w:szCs w:val="14"/>
        </w:rPr>
      </w:pPr>
    </w:p>
    <w:p w:rsidR="00F12B5B" w:rsidRPr="00FA12E8" w:rsidRDefault="00912A79" w:rsidP="001918A3">
      <w:pPr>
        <w:pStyle w:val="NoSpacing"/>
        <w:numPr>
          <w:ilvl w:val="0"/>
          <w:numId w:val="1"/>
        </w:numPr>
        <w:ind w:left="360"/>
        <w:jc w:val="both"/>
        <w:rPr>
          <w:rFonts w:ascii="Arial Narrow" w:hAnsi="Arial Narrow" w:cs="Arial"/>
          <w:color w:val="000000" w:themeColor="text1"/>
          <w:sz w:val="14"/>
          <w:szCs w:val="14"/>
        </w:rPr>
      </w:pPr>
      <w:r w:rsidRPr="00FA12E8">
        <w:rPr>
          <w:rFonts w:ascii="Arial Narrow" w:hAnsi="Arial Narrow" w:cs="Arial"/>
          <w:color w:val="000000" w:themeColor="text1"/>
          <w:sz w:val="14"/>
          <w:szCs w:val="14"/>
        </w:rPr>
        <w:t>Bid security of the unsuccessful bidder shall be released once t</w:t>
      </w:r>
      <w:r w:rsidR="00515F8F" w:rsidRPr="00FA12E8">
        <w:rPr>
          <w:rFonts w:ascii="Arial Narrow" w:hAnsi="Arial Narrow" w:cs="Arial"/>
          <w:color w:val="000000" w:themeColor="text1"/>
          <w:sz w:val="14"/>
          <w:szCs w:val="14"/>
        </w:rPr>
        <w:t xml:space="preserve">he contract has been finalized </w:t>
      </w:r>
      <w:r w:rsidRPr="00FA12E8">
        <w:rPr>
          <w:rFonts w:ascii="Arial Narrow" w:hAnsi="Arial Narrow" w:cs="Arial"/>
          <w:color w:val="000000" w:themeColor="text1"/>
          <w:sz w:val="14"/>
          <w:szCs w:val="14"/>
        </w:rPr>
        <w:t>with the successful bidder or the bid validity period has expired whichever is earlier.</w:t>
      </w:r>
    </w:p>
    <w:p w:rsidR="00B131B0" w:rsidRPr="00897C23" w:rsidRDefault="00B131B0" w:rsidP="00B131B0">
      <w:pPr>
        <w:pStyle w:val="ListParagraph"/>
        <w:rPr>
          <w:rFonts w:ascii="Arial Narrow" w:hAnsi="Arial Narrow" w:cs="Arial"/>
          <w:color w:val="000000" w:themeColor="text1"/>
          <w:sz w:val="4"/>
          <w:szCs w:val="14"/>
        </w:rPr>
      </w:pPr>
    </w:p>
    <w:p w:rsidR="003338FE" w:rsidRPr="00FA12E8" w:rsidRDefault="003338FE" w:rsidP="001918A3">
      <w:pPr>
        <w:pStyle w:val="NoSpacing"/>
        <w:numPr>
          <w:ilvl w:val="0"/>
          <w:numId w:val="1"/>
        </w:numPr>
        <w:ind w:left="360"/>
        <w:jc w:val="both"/>
        <w:rPr>
          <w:rFonts w:ascii="Arial Narrow" w:hAnsi="Arial Narrow" w:cs="Arial"/>
          <w:sz w:val="14"/>
          <w:szCs w:val="14"/>
        </w:rPr>
      </w:pPr>
      <w:r w:rsidRPr="00FA12E8">
        <w:rPr>
          <w:rFonts w:ascii="Arial Narrow" w:hAnsi="Arial Narrow" w:cs="Arial"/>
          <w:sz w:val="14"/>
          <w:szCs w:val="14"/>
        </w:rPr>
        <w:t>Method: Single Stage One Envelop.</w:t>
      </w:r>
    </w:p>
    <w:p w:rsidR="003338FE" w:rsidRPr="00897C23" w:rsidRDefault="003338FE" w:rsidP="003338FE">
      <w:pPr>
        <w:pStyle w:val="ListParagraph"/>
        <w:rPr>
          <w:rFonts w:ascii="Arial Narrow" w:hAnsi="Arial Narrow" w:cs="Arial"/>
          <w:sz w:val="4"/>
          <w:szCs w:val="14"/>
        </w:rPr>
      </w:pPr>
    </w:p>
    <w:p w:rsidR="005D3F3A" w:rsidRDefault="005D3F3A" w:rsidP="00860CFE">
      <w:pPr>
        <w:pStyle w:val="NoSpacing"/>
        <w:numPr>
          <w:ilvl w:val="0"/>
          <w:numId w:val="1"/>
        </w:numPr>
        <w:ind w:left="360"/>
        <w:jc w:val="both"/>
        <w:rPr>
          <w:rFonts w:ascii="Arial Narrow" w:hAnsi="Arial Narrow" w:cs="Arial"/>
          <w:sz w:val="14"/>
          <w:szCs w:val="14"/>
        </w:rPr>
      </w:pPr>
      <w:r w:rsidRPr="00FA12E8">
        <w:rPr>
          <w:rFonts w:ascii="Arial Narrow" w:hAnsi="Arial Narrow" w:cs="Arial"/>
          <w:sz w:val="14"/>
          <w:szCs w:val="14"/>
        </w:rPr>
        <w:t>Contractor must have required turnover of (03) years at least.</w:t>
      </w:r>
    </w:p>
    <w:p w:rsidR="00860CFE" w:rsidRPr="00860CFE" w:rsidRDefault="00860CFE" w:rsidP="00860CFE">
      <w:pPr>
        <w:pStyle w:val="NoSpacing"/>
        <w:jc w:val="both"/>
        <w:rPr>
          <w:rFonts w:ascii="Arial Narrow" w:hAnsi="Arial Narrow" w:cs="Arial"/>
          <w:sz w:val="4"/>
          <w:szCs w:val="14"/>
        </w:rPr>
      </w:pPr>
    </w:p>
    <w:p w:rsidR="005D3F3A" w:rsidRPr="00FA12E8" w:rsidRDefault="005D3F3A" w:rsidP="001918A3">
      <w:pPr>
        <w:pStyle w:val="NoSpacing"/>
        <w:numPr>
          <w:ilvl w:val="0"/>
          <w:numId w:val="1"/>
        </w:numPr>
        <w:ind w:left="360"/>
        <w:jc w:val="both"/>
        <w:rPr>
          <w:rFonts w:ascii="Arial Narrow" w:hAnsi="Arial Narrow" w:cs="Arial"/>
          <w:sz w:val="14"/>
          <w:szCs w:val="14"/>
        </w:rPr>
      </w:pPr>
      <w:r w:rsidRPr="00FA12E8">
        <w:rPr>
          <w:rFonts w:ascii="Arial Narrow" w:hAnsi="Arial Narrow" w:cs="Arial"/>
          <w:sz w:val="14"/>
          <w:szCs w:val="14"/>
        </w:rPr>
        <w:t>Bid Security of a bidder will be forfeited if the successful bidder fails to submit acceptable Performance Bond and / or fails to provide Agreement papers and/or fails to sign the Agreement within the prescribed time given in the Bid/Tender Documents. In case of failure, the bidder may be disqualified from further bidding.</w:t>
      </w:r>
    </w:p>
    <w:p w:rsidR="005D3F3A" w:rsidRPr="00860CFE" w:rsidRDefault="005D3F3A" w:rsidP="005D3F3A">
      <w:pPr>
        <w:pStyle w:val="ListParagraph"/>
        <w:rPr>
          <w:rFonts w:ascii="Arial Narrow" w:hAnsi="Arial Narrow" w:cs="Arial"/>
          <w:sz w:val="4"/>
          <w:szCs w:val="14"/>
        </w:rPr>
      </w:pPr>
    </w:p>
    <w:p w:rsidR="005D3F3A" w:rsidRPr="00FA12E8" w:rsidRDefault="005D3F3A" w:rsidP="001918A3">
      <w:pPr>
        <w:pStyle w:val="NoSpacing"/>
        <w:numPr>
          <w:ilvl w:val="0"/>
          <w:numId w:val="1"/>
        </w:numPr>
        <w:ind w:left="360"/>
        <w:jc w:val="both"/>
        <w:rPr>
          <w:rFonts w:ascii="Arial Narrow" w:hAnsi="Arial Narrow" w:cs="Arial"/>
          <w:sz w:val="14"/>
          <w:szCs w:val="14"/>
        </w:rPr>
      </w:pPr>
      <w:r w:rsidRPr="00FA12E8">
        <w:rPr>
          <w:rFonts w:ascii="Arial Narrow" w:hAnsi="Arial Narrow" w:cs="Arial"/>
          <w:sz w:val="14"/>
          <w:szCs w:val="14"/>
        </w:rPr>
        <w:t>A foreign bidder is entitled to bid only in a joint Venture with a Pakistan Firm in accordance with the relevant provisions of PEC bye-laws.</w:t>
      </w:r>
    </w:p>
    <w:p w:rsidR="005D3F3A" w:rsidRPr="00860CFE" w:rsidRDefault="005D3F3A" w:rsidP="005D3F3A">
      <w:pPr>
        <w:pStyle w:val="ListParagraph"/>
        <w:rPr>
          <w:rFonts w:ascii="Arial Narrow" w:hAnsi="Arial Narrow" w:cs="Arial"/>
          <w:sz w:val="4"/>
          <w:szCs w:val="14"/>
        </w:rPr>
      </w:pPr>
    </w:p>
    <w:p w:rsidR="005D3F3A" w:rsidRPr="00FA12E8" w:rsidRDefault="00236209" w:rsidP="001918A3">
      <w:pPr>
        <w:pStyle w:val="NoSpacing"/>
        <w:numPr>
          <w:ilvl w:val="0"/>
          <w:numId w:val="1"/>
        </w:numPr>
        <w:ind w:left="360"/>
        <w:jc w:val="both"/>
        <w:rPr>
          <w:rFonts w:ascii="Arial Narrow" w:hAnsi="Arial Narrow" w:cs="Arial"/>
          <w:sz w:val="14"/>
          <w:szCs w:val="14"/>
        </w:rPr>
      </w:pPr>
      <w:r w:rsidRPr="00FA12E8">
        <w:rPr>
          <w:rFonts w:ascii="Arial Narrow" w:hAnsi="Arial Narrow" w:cs="Arial"/>
          <w:sz w:val="14"/>
          <w:szCs w:val="14"/>
        </w:rPr>
        <w:t xml:space="preserve">The work will be executed under the detailed supervision of the SMBBT consultant </w:t>
      </w:r>
      <w:r w:rsidR="002B757E" w:rsidRPr="00FA12E8">
        <w:rPr>
          <w:rFonts w:ascii="Arial Narrow" w:hAnsi="Arial Narrow" w:cs="Arial"/>
          <w:sz w:val="14"/>
          <w:szCs w:val="14"/>
        </w:rPr>
        <w:t xml:space="preserve"> i.e. M/s. EA Consulting (</w:t>
      </w:r>
      <w:proofErr w:type="spellStart"/>
      <w:r w:rsidR="002B757E" w:rsidRPr="00FA12E8">
        <w:rPr>
          <w:rFonts w:ascii="Arial Narrow" w:hAnsi="Arial Narrow" w:cs="Arial"/>
          <w:sz w:val="14"/>
          <w:szCs w:val="14"/>
        </w:rPr>
        <w:t>Pvt</w:t>
      </w:r>
      <w:proofErr w:type="spellEnd"/>
      <w:r w:rsidR="002B757E" w:rsidRPr="00FA12E8">
        <w:rPr>
          <w:rFonts w:ascii="Arial Narrow" w:hAnsi="Arial Narrow" w:cs="Arial"/>
          <w:sz w:val="14"/>
          <w:szCs w:val="14"/>
        </w:rPr>
        <w:t xml:space="preserve">) Ltd </w:t>
      </w:r>
      <w:r w:rsidRPr="00FA12E8">
        <w:rPr>
          <w:rFonts w:ascii="Arial Narrow" w:hAnsi="Arial Narrow" w:cs="Arial"/>
          <w:sz w:val="14"/>
          <w:szCs w:val="14"/>
        </w:rPr>
        <w:t>and all eligible payments towards executed works shall be made after verification of IPC’s/RA Bills by the consultants.</w:t>
      </w:r>
    </w:p>
    <w:p w:rsidR="00236209" w:rsidRPr="00860CFE" w:rsidRDefault="00236209" w:rsidP="00236209">
      <w:pPr>
        <w:pStyle w:val="ListParagraph"/>
        <w:rPr>
          <w:rFonts w:ascii="Arial Narrow" w:hAnsi="Arial Narrow" w:cs="Arial"/>
          <w:sz w:val="4"/>
          <w:szCs w:val="14"/>
        </w:rPr>
      </w:pPr>
    </w:p>
    <w:p w:rsidR="00236209" w:rsidRPr="00FA12E8" w:rsidRDefault="00236209" w:rsidP="001918A3">
      <w:pPr>
        <w:pStyle w:val="NoSpacing"/>
        <w:numPr>
          <w:ilvl w:val="0"/>
          <w:numId w:val="1"/>
        </w:numPr>
        <w:ind w:left="360"/>
        <w:jc w:val="both"/>
        <w:rPr>
          <w:rFonts w:ascii="Arial Narrow" w:hAnsi="Arial Narrow" w:cs="Arial"/>
          <w:sz w:val="14"/>
          <w:szCs w:val="14"/>
        </w:rPr>
      </w:pPr>
      <w:r w:rsidRPr="00FA12E8">
        <w:rPr>
          <w:rFonts w:ascii="Arial Narrow" w:hAnsi="Arial Narrow" w:cs="Arial"/>
          <w:sz w:val="14"/>
          <w:szCs w:val="14"/>
        </w:rPr>
        <w:t>Bids / Tenders with any conditions shall be rejected.</w:t>
      </w:r>
    </w:p>
    <w:p w:rsidR="00236209" w:rsidRPr="00860CFE" w:rsidRDefault="00236209" w:rsidP="00236209">
      <w:pPr>
        <w:pStyle w:val="ListParagraph"/>
        <w:rPr>
          <w:rFonts w:ascii="Arial Narrow" w:hAnsi="Arial Narrow" w:cs="Arial"/>
          <w:sz w:val="4"/>
          <w:szCs w:val="14"/>
        </w:rPr>
      </w:pPr>
    </w:p>
    <w:p w:rsidR="00236209" w:rsidRPr="00FA12E8" w:rsidRDefault="00236209" w:rsidP="001918A3">
      <w:pPr>
        <w:pStyle w:val="NoSpacing"/>
        <w:numPr>
          <w:ilvl w:val="0"/>
          <w:numId w:val="1"/>
        </w:numPr>
        <w:ind w:left="360"/>
        <w:jc w:val="both"/>
        <w:rPr>
          <w:rFonts w:ascii="Arial Narrow" w:hAnsi="Arial Narrow" w:cs="Arial"/>
          <w:sz w:val="14"/>
          <w:szCs w:val="14"/>
        </w:rPr>
      </w:pPr>
      <w:r w:rsidRPr="00FA12E8">
        <w:rPr>
          <w:rFonts w:ascii="Arial Narrow" w:hAnsi="Arial Narrow" w:cs="Arial"/>
          <w:sz w:val="14"/>
          <w:szCs w:val="14"/>
        </w:rPr>
        <w:t>The Project Directorate, SMBBT may reject all or any bids subject to the provision of SPPRA Rules 2010 and Amended 2013.</w:t>
      </w:r>
    </w:p>
    <w:p w:rsidR="001918A3" w:rsidRPr="00FA12E8" w:rsidRDefault="00495927" w:rsidP="001918A3">
      <w:pPr>
        <w:pStyle w:val="NoSpacing"/>
        <w:jc w:val="both"/>
        <w:rPr>
          <w:rFonts w:ascii="Arial Narrow" w:hAnsi="Arial Narrow" w:cs="Arial"/>
          <w:b/>
          <w:sz w:val="14"/>
          <w:szCs w:val="14"/>
        </w:rPr>
      </w:pPr>
      <w:r w:rsidRPr="00FA12E8">
        <w:rPr>
          <w:rFonts w:ascii="Arial Narrow" w:hAnsi="Arial Narrow" w:cs="Arial"/>
          <w:sz w:val="14"/>
          <w:szCs w:val="14"/>
        </w:rPr>
        <w:tab/>
      </w:r>
      <w:r w:rsidRPr="00FA12E8">
        <w:rPr>
          <w:rFonts w:ascii="Arial Narrow" w:hAnsi="Arial Narrow" w:cs="Arial"/>
          <w:sz w:val="14"/>
          <w:szCs w:val="14"/>
        </w:rPr>
        <w:tab/>
      </w:r>
      <w:r w:rsidRPr="00FA12E8">
        <w:rPr>
          <w:rFonts w:ascii="Arial Narrow" w:hAnsi="Arial Narrow" w:cs="Arial"/>
          <w:sz w:val="14"/>
          <w:szCs w:val="14"/>
        </w:rPr>
        <w:tab/>
      </w:r>
      <w:r w:rsidRPr="00FA12E8">
        <w:rPr>
          <w:rFonts w:ascii="Arial Narrow" w:hAnsi="Arial Narrow" w:cs="Arial"/>
          <w:sz w:val="14"/>
          <w:szCs w:val="14"/>
        </w:rPr>
        <w:tab/>
      </w:r>
      <w:r w:rsidRPr="00FA12E8">
        <w:rPr>
          <w:rFonts w:ascii="Arial Narrow" w:hAnsi="Arial Narrow" w:cs="Arial"/>
          <w:sz w:val="14"/>
          <w:szCs w:val="14"/>
        </w:rPr>
        <w:tab/>
      </w:r>
      <w:r w:rsidRPr="00FA12E8">
        <w:rPr>
          <w:rFonts w:ascii="Arial Narrow" w:hAnsi="Arial Narrow" w:cs="Arial"/>
          <w:sz w:val="14"/>
          <w:szCs w:val="14"/>
        </w:rPr>
        <w:tab/>
      </w:r>
      <w:r w:rsidRPr="00FA12E8">
        <w:rPr>
          <w:rFonts w:ascii="Arial Narrow" w:hAnsi="Arial Narrow" w:cs="Arial"/>
          <w:sz w:val="14"/>
          <w:szCs w:val="14"/>
        </w:rPr>
        <w:tab/>
      </w:r>
      <w:r w:rsidRPr="00FA12E8">
        <w:rPr>
          <w:rFonts w:ascii="Arial Narrow" w:hAnsi="Arial Narrow" w:cs="Arial"/>
          <w:sz w:val="14"/>
          <w:szCs w:val="14"/>
        </w:rPr>
        <w:tab/>
      </w:r>
      <w:r w:rsidRPr="00FA12E8">
        <w:rPr>
          <w:rFonts w:ascii="Arial Narrow" w:hAnsi="Arial Narrow" w:cs="Arial"/>
          <w:sz w:val="14"/>
          <w:szCs w:val="14"/>
        </w:rPr>
        <w:tab/>
        <w:t xml:space="preserve">        </w:t>
      </w:r>
      <w:r w:rsidR="006B2532" w:rsidRPr="00FA12E8">
        <w:rPr>
          <w:rFonts w:ascii="Arial Narrow" w:hAnsi="Arial Narrow" w:cs="Arial"/>
          <w:sz w:val="14"/>
          <w:szCs w:val="14"/>
        </w:rPr>
        <w:t xml:space="preserve">                  </w:t>
      </w:r>
      <w:r w:rsidR="0038072D" w:rsidRPr="00FA12E8">
        <w:rPr>
          <w:rFonts w:ascii="Arial Narrow" w:hAnsi="Arial Narrow" w:cs="Arial"/>
          <w:sz w:val="14"/>
          <w:szCs w:val="14"/>
        </w:rPr>
        <w:t xml:space="preserve">     </w:t>
      </w:r>
      <w:proofErr w:type="spellStart"/>
      <w:proofErr w:type="gramStart"/>
      <w:r w:rsidRPr="00FA12E8">
        <w:rPr>
          <w:rFonts w:ascii="Arial Narrow" w:hAnsi="Arial Narrow" w:cs="Arial"/>
          <w:b/>
          <w:sz w:val="14"/>
          <w:szCs w:val="14"/>
        </w:rPr>
        <w:t>Sd</w:t>
      </w:r>
      <w:proofErr w:type="spellEnd"/>
      <w:proofErr w:type="gramEnd"/>
      <w:r w:rsidRPr="00FA12E8">
        <w:rPr>
          <w:rFonts w:ascii="Arial Narrow" w:hAnsi="Arial Narrow" w:cs="Arial"/>
          <w:b/>
          <w:sz w:val="14"/>
          <w:szCs w:val="14"/>
        </w:rPr>
        <w:t>/-</w:t>
      </w:r>
    </w:p>
    <w:p w:rsidR="001918A3" w:rsidRPr="00FA12E8" w:rsidRDefault="00C7312D" w:rsidP="00886F03">
      <w:pPr>
        <w:pStyle w:val="NoSpacing"/>
        <w:ind w:left="5040"/>
        <w:jc w:val="center"/>
        <w:rPr>
          <w:rFonts w:ascii="Arial Narrow" w:hAnsi="Arial Narrow" w:cs="Arial"/>
          <w:b/>
          <w:sz w:val="14"/>
          <w:szCs w:val="14"/>
        </w:rPr>
      </w:pPr>
      <w:r>
        <w:rPr>
          <w:rFonts w:ascii="Arial Narrow" w:hAnsi="Arial Narrow" w:cs="Arial"/>
          <w:b/>
          <w:sz w:val="14"/>
          <w:szCs w:val="14"/>
        </w:rPr>
        <w:t>EXECUTIVE ENGINEER</w:t>
      </w:r>
    </w:p>
    <w:p w:rsidR="00215D89" w:rsidRPr="00FA12E8" w:rsidRDefault="00436944" w:rsidP="00886F03">
      <w:pPr>
        <w:pStyle w:val="NoSpacing"/>
        <w:ind w:left="5040"/>
        <w:jc w:val="center"/>
        <w:rPr>
          <w:rFonts w:ascii="Arial Narrow" w:hAnsi="Arial Narrow" w:cs="Arial"/>
          <w:b/>
          <w:sz w:val="14"/>
          <w:szCs w:val="14"/>
        </w:rPr>
      </w:pPr>
      <w:r w:rsidRPr="00FA12E8">
        <w:rPr>
          <w:rFonts w:ascii="Arial Narrow" w:hAnsi="Arial Narrow" w:cs="Arial"/>
          <w:b/>
          <w:sz w:val="14"/>
          <w:szCs w:val="14"/>
        </w:rPr>
        <w:t>SMBBT, GOS</w:t>
      </w:r>
    </w:p>
    <w:sectPr w:rsidR="00215D89" w:rsidRPr="00FA12E8" w:rsidSect="008C2E4E">
      <w:footerReference w:type="default" r:id="rId11"/>
      <w:pgSz w:w="12240" w:h="15840"/>
      <w:pgMar w:top="360" w:right="810" w:bottom="36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754" w:rsidRDefault="00FD4754" w:rsidP="00327EE9">
      <w:r>
        <w:separator/>
      </w:r>
    </w:p>
  </w:endnote>
  <w:endnote w:type="continuationSeparator" w:id="0">
    <w:p w:rsidR="00FD4754" w:rsidRDefault="00FD4754" w:rsidP="00327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026472"/>
      <w:docPartObj>
        <w:docPartGallery w:val="Page Numbers (Bottom of Page)"/>
        <w:docPartUnique/>
      </w:docPartObj>
    </w:sdtPr>
    <w:sdtEndPr/>
    <w:sdtContent>
      <w:sdt>
        <w:sdtPr>
          <w:id w:val="860082579"/>
          <w:docPartObj>
            <w:docPartGallery w:val="Page Numbers (Top of Page)"/>
            <w:docPartUnique/>
          </w:docPartObj>
        </w:sdtPr>
        <w:sdtEndPr/>
        <w:sdtContent>
          <w:p w:rsidR="00564A84" w:rsidRDefault="00564A84">
            <w:pPr>
              <w:pStyle w:val="Footer"/>
              <w:jc w:val="right"/>
            </w:pPr>
            <w:r>
              <w:t xml:space="preserve">Page </w:t>
            </w:r>
            <w:r w:rsidR="00F97767">
              <w:rPr>
                <w:b/>
                <w:bCs/>
              </w:rPr>
              <w:fldChar w:fldCharType="begin"/>
            </w:r>
            <w:r>
              <w:rPr>
                <w:b/>
                <w:bCs/>
              </w:rPr>
              <w:instrText xml:space="preserve"> PAGE </w:instrText>
            </w:r>
            <w:r w:rsidR="00F97767">
              <w:rPr>
                <w:b/>
                <w:bCs/>
              </w:rPr>
              <w:fldChar w:fldCharType="separate"/>
            </w:r>
            <w:r w:rsidR="00D236B8">
              <w:rPr>
                <w:b/>
                <w:bCs/>
                <w:noProof/>
              </w:rPr>
              <w:t>1</w:t>
            </w:r>
            <w:r w:rsidR="00F97767">
              <w:rPr>
                <w:b/>
                <w:bCs/>
              </w:rPr>
              <w:fldChar w:fldCharType="end"/>
            </w:r>
            <w:r>
              <w:t xml:space="preserve"> of </w:t>
            </w:r>
            <w:r w:rsidR="00F97767">
              <w:rPr>
                <w:b/>
                <w:bCs/>
              </w:rPr>
              <w:fldChar w:fldCharType="begin"/>
            </w:r>
            <w:r>
              <w:rPr>
                <w:b/>
                <w:bCs/>
              </w:rPr>
              <w:instrText xml:space="preserve"> NUMPAGES  </w:instrText>
            </w:r>
            <w:r w:rsidR="00F97767">
              <w:rPr>
                <w:b/>
                <w:bCs/>
              </w:rPr>
              <w:fldChar w:fldCharType="separate"/>
            </w:r>
            <w:r w:rsidR="00D236B8">
              <w:rPr>
                <w:b/>
                <w:bCs/>
                <w:noProof/>
              </w:rPr>
              <w:t>1</w:t>
            </w:r>
            <w:r w:rsidR="00F97767">
              <w:rPr>
                <w:b/>
                <w:bCs/>
              </w:rPr>
              <w:fldChar w:fldCharType="end"/>
            </w:r>
          </w:p>
        </w:sdtContent>
      </w:sdt>
    </w:sdtContent>
  </w:sdt>
  <w:p w:rsidR="00564A84" w:rsidRDefault="00564A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754" w:rsidRDefault="00FD4754" w:rsidP="00327EE9">
      <w:r>
        <w:separator/>
      </w:r>
    </w:p>
  </w:footnote>
  <w:footnote w:type="continuationSeparator" w:id="0">
    <w:p w:rsidR="00FD4754" w:rsidRDefault="00FD4754" w:rsidP="00327E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67F16"/>
    <w:multiLevelType w:val="hybridMultilevel"/>
    <w:tmpl w:val="54081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471808"/>
    <w:multiLevelType w:val="hybridMultilevel"/>
    <w:tmpl w:val="4C109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EF0"/>
    <w:rsid w:val="00022AC2"/>
    <w:rsid w:val="000319BF"/>
    <w:rsid w:val="00061866"/>
    <w:rsid w:val="00065C2C"/>
    <w:rsid w:val="00067DAF"/>
    <w:rsid w:val="000714F4"/>
    <w:rsid w:val="00093C0E"/>
    <w:rsid w:val="000B0D08"/>
    <w:rsid w:val="000D4016"/>
    <w:rsid w:val="000D4F63"/>
    <w:rsid w:val="000D7031"/>
    <w:rsid w:val="000E38B7"/>
    <w:rsid w:val="000E73A0"/>
    <w:rsid w:val="000F236B"/>
    <w:rsid w:val="00106172"/>
    <w:rsid w:val="00133FC0"/>
    <w:rsid w:val="001365CC"/>
    <w:rsid w:val="001565E1"/>
    <w:rsid w:val="001739CA"/>
    <w:rsid w:val="00175420"/>
    <w:rsid w:val="00176293"/>
    <w:rsid w:val="00183DD6"/>
    <w:rsid w:val="001918A3"/>
    <w:rsid w:val="00197CFF"/>
    <w:rsid w:val="001A7E71"/>
    <w:rsid w:val="001C2B7D"/>
    <w:rsid w:val="001E5CBE"/>
    <w:rsid w:val="001E63B8"/>
    <w:rsid w:val="00204737"/>
    <w:rsid w:val="0020623C"/>
    <w:rsid w:val="002104F1"/>
    <w:rsid w:val="00210C7A"/>
    <w:rsid w:val="00215748"/>
    <w:rsid w:val="00215D89"/>
    <w:rsid w:val="0021660E"/>
    <w:rsid w:val="00236209"/>
    <w:rsid w:val="0024224A"/>
    <w:rsid w:val="00245649"/>
    <w:rsid w:val="002460B2"/>
    <w:rsid w:val="00252DC9"/>
    <w:rsid w:val="00263985"/>
    <w:rsid w:val="00280D87"/>
    <w:rsid w:val="002855A7"/>
    <w:rsid w:val="00290323"/>
    <w:rsid w:val="00292AA7"/>
    <w:rsid w:val="00292EA4"/>
    <w:rsid w:val="00293AE7"/>
    <w:rsid w:val="002955D7"/>
    <w:rsid w:val="002978BC"/>
    <w:rsid w:val="002B07B6"/>
    <w:rsid w:val="002B09E5"/>
    <w:rsid w:val="002B757E"/>
    <w:rsid w:val="002C154E"/>
    <w:rsid w:val="002C619A"/>
    <w:rsid w:val="002D4FC9"/>
    <w:rsid w:val="002D6A13"/>
    <w:rsid w:val="002E70CA"/>
    <w:rsid w:val="00303432"/>
    <w:rsid w:val="00303FF1"/>
    <w:rsid w:val="00315715"/>
    <w:rsid w:val="00316A3C"/>
    <w:rsid w:val="00316B26"/>
    <w:rsid w:val="00327EE9"/>
    <w:rsid w:val="003338FE"/>
    <w:rsid w:val="00334C9A"/>
    <w:rsid w:val="00342650"/>
    <w:rsid w:val="003441EA"/>
    <w:rsid w:val="00357FBF"/>
    <w:rsid w:val="00362719"/>
    <w:rsid w:val="00363F2E"/>
    <w:rsid w:val="0038072D"/>
    <w:rsid w:val="00396198"/>
    <w:rsid w:val="003B3F7F"/>
    <w:rsid w:val="003B45A8"/>
    <w:rsid w:val="003C4608"/>
    <w:rsid w:val="003D33EB"/>
    <w:rsid w:val="003F61E1"/>
    <w:rsid w:val="00401650"/>
    <w:rsid w:val="00407538"/>
    <w:rsid w:val="00410799"/>
    <w:rsid w:val="00413911"/>
    <w:rsid w:val="00415A19"/>
    <w:rsid w:val="00436944"/>
    <w:rsid w:val="004418E0"/>
    <w:rsid w:val="00447231"/>
    <w:rsid w:val="00455982"/>
    <w:rsid w:val="004626B3"/>
    <w:rsid w:val="00465691"/>
    <w:rsid w:val="00465C4D"/>
    <w:rsid w:val="0046639F"/>
    <w:rsid w:val="0047588A"/>
    <w:rsid w:val="00475D97"/>
    <w:rsid w:val="00480330"/>
    <w:rsid w:val="0049019E"/>
    <w:rsid w:val="00495927"/>
    <w:rsid w:val="004B1F5D"/>
    <w:rsid w:val="004B7C6A"/>
    <w:rsid w:val="004E04DC"/>
    <w:rsid w:val="00515F8F"/>
    <w:rsid w:val="0051743B"/>
    <w:rsid w:val="00523B16"/>
    <w:rsid w:val="00544D42"/>
    <w:rsid w:val="005516BE"/>
    <w:rsid w:val="00553FAD"/>
    <w:rsid w:val="005637B9"/>
    <w:rsid w:val="00564A84"/>
    <w:rsid w:val="0056789C"/>
    <w:rsid w:val="00576339"/>
    <w:rsid w:val="0058379F"/>
    <w:rsid w:val="005A1390"/>
    <w:rsid w:val="005A2AAD"/>
    <w:rsid w:val="005A7D18"/>
    <w:rsid w:val="005B03B8"/>
    <w:rsid w:val="005D0567"/>
    <w:rsid w:val="005D3F3A"/>
    <w:rsid w:val="005F32D5"/>
    <w:rsid w:val="00601A9B"/>
    <w:rsid w:val="00602912"/>
    <w:rsid w:val="006036CF"/>
    <w:rsid w:val="006108B5"/>
    <w:rsid w:val="00627F65"/>
    <w:rsid w:val="00632D7A"/>
    <w:rsid w:val="00637F8F"/>
    <w:rsid w:val="00677217"/>
    <w:rsid w:val="006778CC"/>
    <w:rsid w:val="00691AC0"/>
    <w:rsid w:val="00691CDF"/>
    <w:rsid w:val="006936A7"/>
    <w:rsid w:val="00695E98"/>
    <w:rsid w:val="006A2F11"/>
    <w:rsid w:val="006B205A"/>
    <w:rsid w:val="006B2532"/>
    <w:rsid w:val="006C4F7D"/>
    <w:rsid w:val="006F561E"/>
    <w:rsid w:val="007108EE"/>
    <w:rsid w:val="00713DAA"/>
    <w:rsid w:val="00725B6A"/>
    <w:rsid w:val="007275A7"/>
    <w:rsid w:val="00734A25"/>
    <w:rsid w:val="007400FB"/>
    <w:rsid w:val="00747A65"/>
    <w:rsid w:val="00750441"/>
    <w:rsid w:val="0075258E"/>
    <w:rsid w:val="00767928"/>
    <w:rsid w:val="00780215"/>
    <w:rsid w:val="007A55B6"/>
    <w:rsid w:val="007B7D3D"/>
    <w:rsid w:val="007C1F73"/>
    <w:rsid w:val="007D47DB"/>
    <w:rsid w:val="007D77CC"/>
    <w:rsid w:val="007F7E65"/>
    <w:rsid w:val="008011FB"/>
    <w:rsid w:val="008016CA"/>
    <w:rsid w:val="00804ADC"/>
    <w:rsid w:val="00823811"/>
    <w:rsid w:val="00835CBC"/>
    <w:rsid w:val="00837315"/>
    <w:rsid w:val="0083786E"/>
    <w:rsid w:val="00851D9B"/>
    <w:rsid w:val="00860CFE"/>
    <w:rsid w:val="00862EE0"/>
    <w:rsid w:val="00870FE4"/>
    <w:rsid w:val="0087568D"/>
    <w:rsid w:val="00883553"/>
    <w:rsid w:val="00886F03"/>
    <w:rsid w:val="00897C23"/>
    <w:rsid w:val="008A2EF9"/>
    <w:rsid w:val="008A2FC1"/>
    <w:rsid w:val="008A32CE"/>
    <w:rsid w:val="008A32EE"/>
    <w:rsid w:val="008A38A7"/>
    <w:rsid w:val="008A5B5C"/>
    <w:rsid w:val="008B6009"/>
    <w:rsid w:val="008C2E4E"/>
    <w:rsid w:val="008C36B7"/>
    <w:rsid w:val="008C56D4"/>
    <w:rsid w:val="008E0D28"/>
    <w:rsid w:val="008F387F"/>
    <w:rsid w:val="00912A79"/>
    <w:rsid w:val="00923290"/>
    <w:rsid w:val="00927799"/>
    <w:rsid w:val="009452D3"/>
    <w:rsid w:val="00946AB5"/>
    <w:rsid w:val="009511C3"/>
    <w:rsid w:val="009566DD"/>
    <w:rsid w:val="0096398E"/>
    <w:rsid w:val="009E1BA0"/>
    <w:rsid w:val="009E1F40"/>
    <w:rsid w:val="009F423D"/>
    <w:rsid w:val="009F72E9"/>
    <w:rsid w:val="00A02B8E"/>
    <w:rsid w:val="00A15D90"/>
    <w:rsid w:val="00A15FFB"/>
    <w:rsid w:val="00A210FB"/>
    <w:rsid w:val="00A331D7"/>
    <w:rsid w:val="00A4078E"/>
    <w:rsid w:val="00A55AAB"/>
    <w:rsid w:val="00A56D7C"/>
    <w:rsid w:val="00A70BF8"/>
    <w:rsid w:val="00A73457"/>
    <w:rsid w:val="00A973F7"/>
    <w:rsid w:val="00AA680F"/>
    <w:rsid w:val="00AB3C30"/>
    <w:rsid w:val="00AC5251"/>
    <w:rsid w:val="00AD3E06"/>
    <w:rsid w:val="00AE6040"/>
    <w:rsid w:val="00B01515"/>
    <w:rsid w:val="00B04755"/>
    <w:rsid w:val="00B059ED"/>
    <w:rsid w:val="00B0763C"/>
    <w:rsid w:val="00B11E0F"/>
    <w:rsid w:val="00B131B0"/>
    <w:rsid w:val="00B142D7"/>
    <w:rsid w:val="00B23D91"/>
    <w:rsid w:val="00B25274"/>
    <w:rsid w:val="00B33D8E"/>
    <w:rsid w:val="00B46F13"/>
    <w:rsid w:val="00B56656"/>
    <w:rsid w:val="00B606FC"/>
    <w:rsid w:val="00B64520"/>
    <w:rsid w:val="00B75598"/>
    <w:rsid w:val="00B77856"/>
    <w:rsid w:val="00B901BE"/>
    <w:rsid w:val="00B91CEA"/>
    <w:rsid w:val="00B92572"/>
    <w:rsid w:val="00BA43BF"/>
    <w:rsid w:val="00BC10AF"/>
    <w:rsid w:val="00BC5689"/>
    <w:rsid w:val="00BC6BB6"/>
    <w:rsid w:val="00BD1944"/>
    <w:rsid w:val="00BF2C23"/>
    <w:rsid w:val="00BF4418"/>
    <w:rsid w:val="00C152DE"/>
    <w:rsid w:val="00C16154"/>
    <w:rsid w:val="00C250F0"/>
    <w:rsid w:val="00C30197"/>
    <w:rsid w:val="00C36C27"/>
    <w:rsid w:val="00C410F3"/>
    <w:rsid w:val="00C5171E"/>
    <w:rsid w:val="00C624BB"/>
    <w:rsid w:val="00C711E0"/>
    <w:rsid w:val="00C7312D"/>
    <w:rsid w:val="00C76CD8"/>
    <w:rsid w:val="00C8067B"/>
    <w:rsid w:val="00C90898"/>
    <w:rsid w:val="00C944E3"/>
    <w:rsid w:val="00CB600A"/>
    <w:rsid w:val="00CC21A2"/>
    <w:rsid w:val="00CC4D90"/>
    <w:rsid w:val="00CC6641"/>
    <w:rsid w:val="00CD75E0"/>
    <w:rsid w:val="00CE00E6"/>
    <w:rsid w:val="00CE12C0"/>
    <w:rsid w:val="00CE3AA2"/>
    <w:rsid w:val="00CE6D12"/>
    <w:rsid w:val="00CF311B"/>
    <w:rsid w:val="00CF4A35"/>
    <w:rsid w:val="00CF4B25"/>
    <w:rsid w:val="00D0035D"/>
    <w:rsid w:val="00D154CA"/>
    <w:rsid w:val="00D22DBC"/>
    <w:rsid w:val="00D236B8"/>
    <w:rsid w:val="00D314E4"/>
    <w:rsid w:val="00D33149"/>
    <w:rsid w:val="00D5123F"/>
    <w:rsid w:val="00D566F7"/>
    <w:rsid w:val="00D56CDE"/>
    <w:rsid w:val="00D66B25"/>
    <w:rsid w:val="00D86303"/>
    <w:rsid w:val="00D96B47"/>
    <w:rsid w:val="00DA1006"/>
    <w:rsid w:val="00DA32CF"/>
    <w:rsid w:val="00DB122B"/>
    <w:rsid w:val="00DB2AB6"/>
    <w:rsid w:val="00DB52B9"/>
    <w:rsid w:val="00DC6F95"/>
    <w:rsid w:val="00DD21BB"/>
    <w:rsid w:val="00DD4DDF"/>
    <w:rsid w:val="00DE23FB"/>
    <w:rsid w:val="00DF0318"/>
    <w:rsid w:val="00E01BE4"/>
    <w:rsid w:val="00E036E2"/>
    <w:rsid w:val="00E05029"/>
    <w:rsid w:val="00E103ED"/>
    <w:rsid w:val="00E1047F"/>
    <w:rsid w:val="00E13080"/>
    <w:rsid w:val="00E37E49"/>
    <w:rsid w:val="00E45233"/>
    <w:rsid w:val="00E62328"/>
    <w:rsid w:val="00E647A2"/>
    <w:rsid w:val="00E6481B"/>
    <w:rsid w:val="00E660B9"/>
    <w:rsid w:val="00E6668C"/>
    <w:rsid w:val="00E72F91"/>
    <w:rsid w:val="00E770F7"/>
    <w:rsid w:val="00E90A12"/>
    <w:rsid w:val="00EB2F52"/>
    <w:rsid w:val="00ED7080"/>
    <w:rsid w:val="00EE5D82"/>
    <w:rsid w:val="00F05B74"/>
    <w:rsid w:val="00F12B5B"/>
    <w:rsid w:val="00F16455"/>
    <w:rsid w:val="00F26862"/>
    <w:rsid w:val="00F41CF9"/>
    <w:rsid w:val="00F43557"/>
    <w:rsid w:val="00F56E8F"/>
    <w:rsid w:val="00F658D0"/>
    <w:rsid w:val="00F65A0E"/>
    <w:rsid w:val="00F66EE3"/>
    <w:rsid w:val="00F76EF0"/>
    <w:rsid w:val="00F84086"/>
    <w:rsid w:val="00F8569A"/>
    <w:rsid w:val="00F9535A"/>
    <w:rsid w:val="00F97767"/>
    <w:rsid w:val="00FA12E8"/>
    <w:rsid w:val="00FB23B5"/>
    <w:rsid w:val="00FC35D7"/>
    <w:rsid w:val="00FD44D5"/>
    <w:rsid w:val="00FD4754"/>
    <w:rsid w:val="00FD53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61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12C0"/>
    <w:pPr>
      <w:spacing w:after="0" w:line="240" w:lineRule="auto"/>
    </w:pPr>
  </w:style>
  <w:style w:type="paragraph" w:styleId="BalloonText">
    <w:name w:val="Balloon Text"/>
    <w:basedOn w:val="Normal"/>
    <w:link w:val="BalloonTextChar"/>
    <w:uiPriority w:val="99"/>
    <w:semiHidden/>
    <w:unhideWhenUsed/>
    <w:rsid w:val="00734A25"/>
    <w:rPr>
      <w:rFonts w:ascii="Tahoma" w:hAnsi="Tahoma" w:cs="Tahoma"/>
      <w:sz w:val="16"/>
      <w:szCs w:val="16"/>
    </w:rPr>
  </w:style>
  <w:style w:type="character" w:customStyle="1" w:styleId="BalloonTextChar">
    <w:name w:val="Balloon Text Char"/>
    <w:basedOn w:val="DefaultParagraphFont"/>
    <w:link w:val="BalloonText"/>
    <w:uiPriority w:val="99"/>
    <w:semiHidden/>
    <w:rsid w:val="00734A25"/>
    <w:rPr>
      <w:rFonts w:ascii="Tahoma" w:hAnsi="Tahoma" w:cs="Tahoma"/>
      <w:sz w:val="16"/>
      <w:szCs w:val="16"/>
    </w:rPr>
  </w:style>
  <w:style w:type="table" w:styleId="TableGrid">
    <w:name w:val="Table Grid"/>
    <w:basedOn w:val="TableNormal"/>
    <w:uiPriority w:val="59"/>
    <w:rsid w:val="001565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01650"/>
    <w:pPr>
      <w:ind w:left="720"/>
      <w:contextualSpacing/>
    </w:pPr>
  </w:style>
  <w:style w:type="paragraph" w:styleId="Header">
    <w:name w:val="header"/>
    <w:basedOn w:val="Normal"/>
    <w:link w:val="HeaderChar"/>
    <w:uiPriority w:val="99"/>
    <w:unhideWhenUsed/>
    <w:rsid w:val="00327EE9"/>
    <w:pPr>
      <w:tabs>
        <w:tab w:val="center" w:pos="4680"/>
        <w:tab w:val="right" w:pos="9360"/>
      </w:tabs>
    </w:pPr>
  </w:style>
  <w:style w:type="character" w:customStyle="1" w:styleId="HeaderChar">
    <w:name w:val="Header Char"/>
    <w:basedOn w:val="DefaultParagraphFont"/>
    <w:link w:val="Header"/>
    <w:uiPriority w:val="99"/>
    <w:rsid w:val="00327EE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27EE9"/>
    <w:pPr>
      <w:tabs>
        <w:tab w:val="center" w:pos="4680"/>
        <w:tab w:val="right" w:pos="9360"/>
      </w:tabs>
    </w:pPr>
  </w:style>
  <w:style w:type="character" w:customStyle="1" w:styleId="FooterChar">
    <w:name w:val="Footer Char"/>
    <w:basedOn w:val="DefaultParagraphFont"/>
    <w:link w:val="Footer"/>
    <w:uiPriority w:val="99"/>
    <w:rsid w:val="00327EE9"/>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F38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61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12C0"/>
    <w:pPr>
      <w:spacing w:after="0" w:line="240" w:lineRule="auto"/>
    </w:pPr>
  </w:style>
  <w:style w:type="paragraph" w:styleId="BalloonText">
    <w:name w:val="Balloon Text"/>
    <w:basedOn w:val="Normal"/>
    <w:link w:val="BalloonTextChar"/>
    <w:uiPriority w:val="99"/>
    <w:semiHidden/>
    <w:unhideWhenUsed/>
    <w:rsid w:val="00734A25"/>
    <w:rPr>
      <w:rFonts w:ascii="Tahoma" w:hAnsi="Tahoma" w:cs="Tahoma"/>
      <w:sz w:val="16"/>
      <w:szCs w:val="16"/>
    </w:rPr>
  </w:style>
  <w:style w:type="character" w:customStyle="1" w:styleId="BalloonTextChar">
    <w:name w:val="Balloon Text Char"/>
    <w:basedOn w:val="DefaultParagraphFont"/>
    <w:link w:val="BalloonText"/>
    <w:uiPriority w:val="99"/>
    <w:semiHidden/>
    <w:rsid w:val="00734A25"/>
    <w:rPr>
      <w:rFonts w:ascii="Tahoma" w:hAnsi="Tahoma" w:cs="Tahoma"/>
      <w:sz w:val="16"/>
      <w:szCs w:val="16"/>
    </w:rPr>
  </w:style>
  <w:style w:type="table" w:styleId="TableGrid">
    <w:name w:val="Table Grid"/>
    <w:basedOn w:val="TableNormal"/>
    <w:uiPriority w:val="59"/>
    <w:rsid w:val="001565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01650"/>
    <w:pPr>
      <w:ind w:left="720"/>
      <w:contextualSpacing/>
    </w:pPr>
  </w:style>
  <w:style w:type="paragraph" w:styleId="Header">
    <w:name w:val="header"/>
    <w:basedOn w:val="Normal"/>
    <w:link w:val="HeaderChar"/>
    <w:uiPriority w:val="99"/>
    <w:unhideWhenUsed/>
    <w:rsid w:val="00327EE9"/>
    <w:pPr>
      <w:tabs>
        <w:tab w:val="center" w:pos="4680"/>
        <w:tab w:val="right" w:pos="9360"/>
      </w:tabs>
    </w:pPr>
  </w:style>
  <w:style w:type="character" w:customStyle="1" w:styleId="HeaderChar">
    <w:name w:val="Header Char"/>
    <w:basedOn w:val="DefaultParagraphFont"/>
    <w:link w:val="Header"/>
    <w:uiPriority w:val="99"/>
    <w:rsid w:val="00327EE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27EE9"/>
    <w:pPr>
      <w:tabs>
        <w:tab w:val="center" w:pos="4680"/>
        <w:tab w:val="right" w:pos="9360"/>
      </w:tabs>
    </w:pPr>
  </w:style>
  <w:style w:type="character" w:customStyle="1" w:styleId="FooterChar">
    <w:name w:val="Footer Char"/>
    <w:basedOn w:val="DefaultParagraphFont"/>
    <w:link w:val="Footer"/>
    <w:uiPriority w:val="99"/>
    <w:rsid w:val="00327EE9"/>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F38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prasindh.gov.p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4745E-86BA-4C8F-9C51-AD3B6816C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IK</cp:lastModifiedBy>
  <cp:revision>28</cp:revision>
  <cp:lastPrinted>2017-11-09T07:08:00Z</cp:lastPrinted>
  <dcterms:created xsi:type="dcterms:W3CDTF">2017-11-08T10:05:00Z</dcterms:created>
  <dcterms:modified xsi:type="dcterms:W3CDTF">2017-11-09T07:08:00Z</dcterms:modified>
</cp:coreProperties>
</file>