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A40133" w:rsidP="00F34D08">
      <w:pPr>
        <w:ind w:left="360"/>
        <w:jc w:val="center"/>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Ghulam</w:t>
      </w:r>
      <w:proofErr w:type="spellEnd"/>
      <w:r>
        <w:rPr>
          <w:rFonts w:asciiTheme="majorHAnsi" w:hAnsiTheme="majorHAnsi"/>
          <w:b/>
          <w:bCs/>
          <w:sz w:val="28"/>
          <w:szCs w:val="30"/>
          <w:u w:val="single"/>
        </w:rPr>
        <w:t xml:space="preserve"> Mohammad </w:t>
      </w:r>
      <w:proofErr w:type="spellStart"/>
      <w:r>
        <w:rPr>
          <w:rFonts w:asciiTheme="majorHAnsi" w:hAnsiTheme="majorHAnsi"/>
          <w:b/>
          <w:bCs/>
          <w:sz w:val="28"/>
          <w:szCs w:val="30"/>
          <w:u w:val="single"/>
        </w:rPr>
        <w:t>Isran</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Khairpur</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Juso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A40133">
        <w:rPr>
          <w:rFonts w:asciiTheme="majorHAnsi" w:hAnsiTheme="majorHAnsi"/>
          <w:b/>
          <w:bCs/>
          <w:sz w:val="28"/>
          <w:szCs w:val="30"/>
          <w:u w:val="single"/>
        </w:rPr>
        <w:t xml:space="preserve">Construction of CC Block and CC drains of Village </w:t>
      </w:r>
      <w:proofErr w:type="spellStart"/>
      <w:r w:rsidR="00A40133">
        <w:rPr>
          <w:rFonts w:asciiTheme="majorHAnsi" w:hAnsiTheme="majorHAnsi"/>
          <w:b/>
          <w:bCs/>
          <w:sz w:val="28"/>
          <w:szCs w:val="30"/>
          <w:u w:val="single"/>
        </w:rPr>
        <w:t>Ghulam</w:t>
      </w:r>
      <w:proofErr w:type="spellEnd"/>
      <w:r w:rsidR="00A40133">
        <w:rPr>
          <w:rFonts w:asciiTheme="majorHAnsi" w:hAnsiTheme="majorHAnsi"/>
          <w:b/>
          <w:bCs/>
          <w:sz w:val="28"/>
          <w:szCs w:val="30"/>
          <w:u w:val="single"/>
        </w:rPr>
        <w:t xml:space="preserve"> Mohammad </w:t>
      </w:r>
      <w:proofErr w:type="spellStart"/>
      <w:r w:rsidR="00A40133">
        <w:rPr>
          <w:rFonts w:asciiTheme="majorHAnsi" w:hAnsiTheme="majorHAnsi"/>
          <w:b/>
          <w:bCs/>
          <w:sz w:val="28"/>
          <w:szCs w:val="30"/>
          <w:u w:val="single"/>
        </w:rPr>
        <w:t>Isran</w:t>
      </w:r>
      <w:proofErr w:type="spellEnd"/>
      <w:r w:rsidR="00A40133">
        <w:rPr>
          <w:rFonts w:asciiTheme="majorHAnsi" w:hAnsiTheme="majorHAnsi"/>
          <w:b/>
          <w:bCs/>
          <w:sz w:val="28"/>
          <w:szCs w:val="30"/>
          <w:u w:val="single"/>
        </w:rPr>
        <w:t xml:space="preserve"> UC-</w:t>
      </w:r>
      <w:proofErr w:type="spellStart"/>
      <w:r w:rsidR="00A40133">
        <w:rPr>
          <w:rFonts w:asciiTheme="majorHAnsi" w:hAnsiTheme="majorHAnsi"/>
          <w:b/>
          <w:bCs/>
          <w:sz w:val="28"/>
          <w:szCs w:val="30"/>
          <w:u w:val="single"/>
        </w:rPr>
        <w:t>Khairpur</w:t>
      </w:r>
      <w:proofErr w:type="spellEnd"/>
      <w:r w:rsidR="00A40133">
        <w:rPr>
          <w:rFonts w:asciiTheme="majorHAnsi" w:hAnsiTheme="majorHAnsi"/>
          <w:b/>
          <w:bCs/>
          <w:sz w:val="28"/>
          <w:szCs w:val="30"/>
          <w:u w:val="single"/>
        </w:rPr>
        <w:t xml:space="preserve"> </w:t>
      </w:r>
      <w:proofErr w:type="spellStart"/>
      <w:r w:rsidR="00A40133">
        <w:rPr>
          <w:rFonts w:asciiTheme="majorHAnsi" w:hAnsiTheme="majorHAnsi"/>
          <w:b/>
          <w:bCs/>
          <w:sz w:val="28"/>
          <w:szCs w:val="30"/>
          <w:u w:val="single"/>
        </w:rPr>
        <w:t>Juso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E20918"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A40133"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Ghulam</w:t>
      </w:r>
      <w:proofErr w:type="spellEnd"/>
      <w:r>
        <w:rPr>
          <w:rFonts w:asciiTheme="majorHAnsi" w:hAnsiTheme="majorHAnsi"/>
          <w:b/>
          <w:bCs/>
          <w:sz w:val="28"/>
          <w:szCs w:val="30"/>
          <w:u w:val="single"/>
        </w:rPr>
        <w:t xml:space="preserve"> Mohammad </w:t>
      </w:r>
      <w:proofErr w:type="spellStart"/>
      <w:r>
        <w:rPr>
          <w:rFonts w:asciiTheme="majorHAnsi" w:hAnsiTheme="majorHAnsi"/>
          <w:b/>
          <w:bCs/>
          <w:sz w:val="28"/>
          <w:szCs w:val="30"/>
          <w:u w:val="single"/>
        </w:rPr>
        <w:t>Isran</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Khairpur</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Juso</w:t>
      </w:r>
      <w:proofErr w:type="spellEnd"/>
      <w:r w:rsidR="00A17108"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p>
    <w:sectPr w:rsidR="00A5456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C19F4"/>
    <w:rsid w:val="00210F24"/>
    <w:rsid w:val="00252F28"/>
    <w:rsid w:val="0026288E"/>
    <w:rsid w:val="002C3259"/>
    <w:rsid w:val="002D0963"/>
    <w:rsid w:val="00364022"/>
    <w:rsid w:val="003B5217"/>
    <w:rsid w:val="003D3FCA"/>
    <w:rsid w:val="00406F4D"/>
    <w:rsid w:val="00410C87"/>
    <w:rsid w:val="00526867"/>
    <w:rsid w:val="00585761"/>
    <w:rsid w:val="005B5647"/>
    <w:rsid w:val="00636A19"/>
    <w:rsid w:val="006864BB"/>
    <w:rsid w:val="00706B6E"/>
    <w:rsid w:val="00867ED9"/>
    <w:rsid w:val="008E613B"/>
    <w:rsid w:val="008F2EE0"/>
    <w:rsid w:val="00A17108"/>
    <w:rsid w:val="00A40133"/>
    <w:rsid w:val="00A5456D"/>
    <w:rsid w:val="00AD5834"/>
    <w:rsid w:val="00AF1E09"/>
    <w:rsid w:val="00B012D2"/>
    <w:rsid w:val="00B20FB9"/>
    <w:rsid w:val="00B4110D"/>
    <w:rsid w:val="00C91965"/>
    <w:rsid w:val="00DB3CFB"/>
    <w:rsid w:val="00DF7868"/>
    <w:rsid w:val="00E20918"/>
    <w:rsid w:val="00E95D13"/>
    <w:rsid w:val="00F34D08"/>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4219</Words>
  <Characters>24050</Characters>
  <Application>Microsoft Office Word</Application>
  <DocSecurity>0</DocSecurity>
  <Lines>200</Lines>
  <Paragraphs>56</Paragraphs>
  <ScaleCrop>false</ScaleCrop>
  <Company/>
  <LinksUpToDate>false</LinksUpToDate>
  <CharactersWithSpaces>28213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5</cp:revision>
  <dcterms:created xsi:type="dcterms:W3CDTF">2017-04-18T22:53:00Z</dcterms:created>
  <dcterms:modified xsi:type="dcterms:W3CDTF">2017-04-18T22:55:00Z</dcterms:modified>
</cp:coreProperties>
</file>