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901" w:rsidRPr="00B55F5C" w:rsidRDefault="008E0901" w:rsidP="008E0901">
      <w:pPr>
        <w:pStyle w:val="NoSpacing"/>
        <w:rPr>
          <w:rFonts w:ascii="Arial" w:hAnsi="Arial" w:cs="Arial"/>
        </w:rPr>
      </w:pPr>
      <w:r w:rsidRPr="00B55F5C">
        <w:rPr>
          <w:rFonts w:ascii="Arial" w:hAnsi="Arial" w:cs="Arial"/>
          <w:b/>
        </w:rPr>
        <w:t>SCHEDULE – B</w:t>
      </w:r>
    </w:p>
    <w:p w:rsidR="008E0901" w:rsidRDefault="008E0901" w:rsidP="008E0901">
      <w:pPr>
        <w:pStyle w:val="NoSpacing"/>
        <w:rPr>
          <w:rFonts w:ascii="Arial" w:hAnsi="Arial" w:cs="Arial"/>
          <w:b/>
          <w:sz w:val="20"/>
          <w:szCs w:val="20"/>
        </w:rPr>
      </w:pPr>
      <w:r w:rsidRPr="00B55F5C">
        <w:rPr>
          <w:rFonts w:ascii="Arial" w:hAnsi="Arial" w:cs="Arial"/>
          <w:b/>
        </w:rPr>
        <w:t>S &amp; R to Deputy Secretary Flat-49 at GOR-1 Bath Island Karachi</w:t>
      </w:r>
      <w:r w:rsidRPr="00B55F5C">
        <w:rPr>
          <w:rFonts w:ascii="Arial" w:hAnsi="Arial" w:cs="Arial"/>
          <w:b/>
          <w:sz w:val="20"/>
          <w:szCs w:val="20"/>
        </w:rPr>
        <w:t>.</w:t>
      </w:r>
    </w:p>
    <w:p w:rsidR="008E0901" w:rsidRPr="00B55F5C" w:rsidRDefault="008E0901" w:rsidP="008E0901">
      <w:pPr>
        <w:pStyle w:val="NoSpacing"/>
        <w:rPr>
          <w:rFonts w:ascii="Arial" w:hAnsi="Arial" w:cs="Arial"/>
          <w:b/>
          <w:sz w:val="20"/>
          <w:szCs w:val="20"/>
        </w:rPr>
      </w:pPr>
    </w:p>
    <w:tbl>
      <w:tblPr>
        <w:tblStyle w:val="TableGrid"/>
        <w:tblW w:w="0" w:type="auto"/>
        <w:tblLook w:val="04A0"/>
      </w:tblPr>
      <w:tblGrid>
        <w:gridCol w:w="662"/>
        <w:gridCol w:w="4162"/>
        <w:gridCol w:w="975"/>
        <w:gridCol w:w="1222"/>
        <w:gridCol w:w="882"/>
        <w:gridCol w:w="1340"/>
      </w:tblGrid>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S.No</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Description</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Qty</w:t>
            </w:r>
          </w:p>
        </w:tc>
        <w:tc>
          <w:tcPr>
            <w:tcW w:w="1258"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Rate</w:t>
            </w: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Unit</w:t>
            </w:r>
          </w:p>
        </w:tc>
        <w:tc>
          <w:tcPr>
            <w:tcW w:w="1367"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Amount</w:t>
            </w: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b/>
                <w:sz w:val="20"/>
                <w:szCs w:val="20"/>
              </w:rPr>
            </w:pPr>
            <w:r w:rsidRPr="00B55F5C">
              <w:rPr>
                <w:rFonts w:ascii="Arial" w:hAnsi="Arial" w:cs="Arial"/>
                <w:b/>
                <w:sz w:val="20"/>
                <w:szCs w:val="20"/>
              </w:rPr>
              <w:t>CIVIL ITEM</w:t>
            </w:r>
          </w:p>
        </w:tc>
        <w:tc>
          <w:tcPr>
            <w:tcW w:w="989" w:type="dxa"/>
          </w:tcPr>
          <w:p w:rsidR="008E0901" w:rsidRPr="00B55F5C" w:rsidRDefault="008E0901" w:rsidP="001244F6">
            <w:pPr>
              <w:pStyle w:val="NoSpacing"/>
              <w:rPr>
                <w:rFonts w:ascii="Arial" w:hAnsi="Arial" w:cs="Arial"/>
                <w:sz w:val="20"/>
                <w:szCs w:val="20"/>
              </w:rPr>
            </w:pP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Dismantling of glazed or encaustic tiles.(S.I.55/13)</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386.00</w:t>
            </w:r>
          </w:p>
        </w:tc>
        <w:tc>
          <w:tcPr>
            <w:tcW w:w="1258"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786.00</w:t>
            </w: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%Sft</w:t>
            </w:r>
          </w:p>
        </w:tc>
        <w:tc>
          <w:tcPr>
            <w:tcW w:w="1367"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3035.89</w:t>
            </w: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b/>
                <w:sz w:val="20"/>
                <w:szCs w:val="20"/>
              </w:rPr>
            </w:pPr>
            <w:r w:rsidRPr="00B55F5C">
              <w:rPr>
                <w:rFonts w:ascii="Arial" w:hAnsi="Arial" w:cs="Arial"/>
                <w:b/>
                <w:sz w:val="20"/>
                <w:szCs w:val="20"/>
              </w:rPr>
              <w:t xml:space="preserve">TOTAL </w:t>
            </w:r>
          </w:p>
        </w:tc>
        <w:tc>
          <w:tcPr>
            <w:tcW w:w="989" w:type="dxa"/>
          </w:tcPr>
          <w:p w:rsidR="008E0901" w:rsidRPr="00B55F5C" w:rsidRDefault="008E0901" w:rsidP="001244F6">
            <w:pPr>
              <w:pStyle w:val="NoSpacing"/>
              <w:rPr>
                <w:rFonts w:ascii="Arial" w:hAnsi="Arial" w:cs="Arial"/>
                <w:sz w:val="20"/>
                <w:szCs w:val="20"/>
              </w:rPr>
            </w:pP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p>
        </w:tc>
        <w:tc>
          <w:tcPr>
            <w:tcW w:w="1367" w:type="dxa"/>
          </w:tcPr>
          <w:p w:rsidR="008E0901" w:rsidRPr="00B55F5C" w:rsidRDefault="008E0901" w:rsidP="001244F6">
            <w:pPr>
              <w:pStyle w:val="NoSpacing"/>
              <w:rPr>
                <w:rFonts w:ascii="Arial" w:hAnsi="Arial" w:cs="Arial"/>
                <w:b/>
                <w:sz w:val="20"/>
                <w:szCs w:val="20"/>
              </w:rPr>
            </w:pPr>
            <w:r w:rsidRPr="00B55F5C">
              <w:rPr>
                <w:rFonts w:ascii="Arial" w:hAnsi="Arial" w:cs="Arial"/>
                <w:b/>
                <w:sz w:val="20"/>
                <w:szCs w:val="20"/>
              </w:rPr>
              <w:t>3035.89</w:t>
            </w: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b/>
                <w:sz w:val="20"/>
                <w:szCs w:val="20"/>
              </w:rPr>
            </w:pPr>
            <w:r w:rsidRPr="00B55F5C">
              <w:rPr>
                <w:rFonts w:ascii="Arial" w:hAnsi="Arial" w:cs="Arial"/>
                <w:b/>
                <w:sz w:val="20"/>
                <w:szCs w:val="20"/>
              </w:rPr>
              <w:t xml:space="preserve"> ELECTRIC ITEM</w:t>
            </w:r>
          </w:p>
        </w:tc>
        <w:tc>
          <w:tcPr>
            <w:tcW w:w="989" w:type="dxa"/>
          </w:tcPr>
          <w:p w:rsidR="008E0901" w:rsidRPr="00B55F5C" w:rsidRDefault="008E0901" w:rsidP="001244F6">
            <w:pPr>
              <w:pStyle w:val="NoSpacing"/>
              <w:rPr>
                <w:rFonts w:ascii="Arial" w:hAnsi="Arial" w:cs="Arial"/>
                <w:sz w:val="20"/>
                <w:szCs w:val="20"/>
              </w:rPr>
            </w:pP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2</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Providing &amp; laying (Main or Sub-Main) PVC insulated with size 2-7/0.29 copper conductor in 3/4" dia PVC conduit on surface.(S.I-A3/1)</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35.00</w:t>
            </w:r>
          </w:p>
        </w:tc>
        <w:tc>
          <w:tcPr>
            <w:tcW w:w="1258"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171.00</w:t>
            </w: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P.Mtr</w:t>
            </w:r>
          </w:p>
        </w:tc>
        <w:tc>
          <w:tcPr>
            <w:tcW w:w="1367"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5985.00</w:t>
            </w: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3</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Providing &amp; laying (Main or Sub-Main) PVC insulated with size 2-7/0.036 (4mm2) copper conductor in 3/4" dia PVC conduit on surface. (S.I-A4/1)</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25.00</w:t>
            </w:r>
          </w:p>
        </w:tc>
        <w:tc>
          <w:tcPr>
            <w:tcW w:w="1258"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200.00</w:t>
            </w: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P.Mtr</w:t>
            </w:r>
          </w:p>
        </w:tc>
        <w:tc>
          <w:tcPr>
            <w:tcW w:w="1367"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5000.00</w:t>
            </w: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b/>
                <w:sz w:val="20"/>
                <w:szCs w:val="20"/>
              </w:rPr>
            </w:pPr>
            <w:r w:rsidRPr="00B55F5C">
              <w:rPr>
                <w:rFonts w:ascii="Arial" w:hAnsi="Arial" w:cs="Arial"/>
                <w:b/>
                <w:sz w:val="20"/>
                <w:szCs w:val="20"/>
              </w:rPr>
              <w:t>T</w:t>
            </w:r>
            <w:r>
              <w:rPr>
                <w:rFonts w:ascii="Arial" w:hAnsi="Arial" w:cs="Arial"/>
                <w:b/>
                <w:sz w:val="20"/>
                <w:szCs w:val="20"/>
              </w:rPr>
              <w:t>OTAL</w:t>
            </w:r>
          </w:p>
        </w:tc>
        <w:tc>
          <w:tcPr>
            <w:tcW w:w="989" w:type="dxa"/>
          </w:tcPr>
          <w:p w:rsidR="008E0901" w:rsidRPr="00B55F5C" w:rsidRDefault="008E0901" w:rsidP="001244F6">
            <w:pPr>
              <w:pStyle w:val="NoSpacing"/>
              <w:rPr>
                <w:rFonts w:ascii="Arial" w:hAnsi="Arial" w:cs="Arial"/>
                <w:sz w:val="20"/>
                <w:szCs w:val="20"/>
              </w:rPr>
            </w:pP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p>
        </w:tc>
        <w:tc>
          <w:tcPr>
            <w:tcW w:w="1367" w:type="dxa"/>
          </w:tcPr>
          <w:p w:rsidR="008E0901" w:rsidRPr="00B55F5C" w:rsidRDefault="008E0901" w:rsidP="001244F6">
            <w:pPr>
              <w:pStyle w:val="NoSpacing"/>
              <w:rPr>
                <w:rFonts w:ascii="Arial" w:hAnsi="Arial" w:cs="Arial"/>
                <w:b/>
                <w:sz w:val="20"/>
                <w:szCs w:val="20"/>
              </w:rPr>
            </w:pPr>
            <w:r w:rsidRPr="00B55F5C">
              <w:rPr>
                <w:rFonts w:ascii="Arial" w:hAnsi="Arial" w:cs="Arial"/>
                <w:b/>
                <w:sz w:val="20"/>
                <w:szCs w:val="20"/>
              </w:rPr>
              <w:t>10985.00</w:t>
            </w: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b/>
                <w:sz w:val="20"/>
                <w:szCs w:val="20"/>
              </w:rPr>
            </w:pPr>
            <w:r w:rsidRPr="00B55F5C">
              <w:rPr>
                <w:rFonts w:ascii="Arial" w:hAnsi="Arial" w:cs="Arial"/>
                <w:b/>
                <w:sz w:val="20"/>
                <w:szCs w:val="20"/>
              </w:rPr>
              <w:t>NON- SCHEDULE ITEMS</w:t>
            </w:r>
          </w:p>
        </w:tc>
        <w:tc>
          <w:tcPr>
            <w:tcW w:w="989" w:type="dxa"/>
          </w:tcPr>
          <w:p w:rsidR="008E0901" w:rsidRPr="00B55F5C" w:rsidRDefault="008E0901" w:rsidP="001244F6">
            <w:pPr>
              <w:pStyle w:val="NoSpacing"/>
              <w:rPr>
                <w:rFonts w:ascii="Arial" w:hAnsi="Arial" w:cs="Arial"/>
                <w:sz w:val="20"/>
                <w:szCs w:val="20"/>
              </w:rPr>
            </w:pP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P/F Stainless Steel Sink Double Bowl Approved quality necessary fittings i/c. fixed in marble top fitting with cement mortar &amp; curing etc. complete.</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 xml:space="preserve">Each </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2</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Supplying &amp; Fixing sink mixture cock of superior quality with c.p head etc. complete.</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 xml:space="preserve">Each </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3</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P/F Hobe imported double excess fan touch screen glass tope or as approved quality i/c. all cost of labor material cartage and fixing charge in all respect etc. complete.</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 xml:space="preserve">Each </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4</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Providing and fixing turbo in size vave tech or as approved quality fire burner with double door / Shutter including all cost of labor material cartage and fixing charges in all respect.</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 xml:space="preserve">Each </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5</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Providing and fixing granite / fancy marble top 3/4" thick matching  color with design &amp; necessary edges in round shape filling joints with matching color pigment etc. also i/c. all cost of labor and cartage etc. complete as directed by the Engineer Incharge etc. complete.</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34.00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P-Sft</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6</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Providing and laying fancy type Porcelain kitchen tiles 24" x 24" &amp; 3/8" thick as approved size specified approved quality / make / design and color including laying with bond solution sand mortar including jointing in white cement including washing of tiles and filling of joints with slurry of white cement in desired shape with finishing including cutting of tiles to proper profile i/c. all respect labor and necessary required material as directed by the Engineer Incharge etc. complete.</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120.00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Sft</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7</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P/F Glazed tiles 10" x 20" x 3/8" or equilent size jointed with cement &amp; laid over bed of 3/4" thick grey cement mortar ratio 1:3 i/c. washing filling of joints with matching color grouted complete in all respect (Imported)</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266.00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 xml:space="preserve">Each </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8</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 xml:space="preserve">Providing and fixing Universal light plug 3 </w:t>
            </w:r>
            <w:r w:rsidRPr="00B55F5C">
              <w:rPr>
                <w:rFonts w:ascii="Arial" w:hAnsi="Arial" w:cs="Arial"/>
                <w:sz w:val="20"/>
                <w:szCs w:val="20"/>
              </w:rPr>
              <w:lastRenderedPageBreak/>
              <w:t xml:space="preserve">pin 13 amps fancy type imported quality with fancy PVC concealed board and necessary screws and electric wiring and connection. </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lastRenderedPageBreak/>
              <w:t>8.00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 xml:space="preserve">Each </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lastRenderedPageBreak/>
              <w:t>9</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 xml:space="preserve">Making and fixing Wardrobe Carcass of Lamination MDF white and shutters made of Melamine finish, Bathroom 2 Nos., Room 1 Nos., High Cabinets frame 3 Nos., under Stairs frame 2 Nos. as per approved by the Engineer etc. complete. </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116.53</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Sft</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 xml:space="preserve">Making and fixing Kitchen Cabinet Carcass of Lamination MDF white for wall &amp; floor cabinets and doors are made of Acrylic finish as per approved i/c. Cutlery Trey 1 No. Hot trey 1 No., Plate Shelf 1 No., almirah 4'ft, height, bottle pullout 2 no. elevator basket 1 No. etc. etc. complete. </w:t>
            </w:r>
          </w:p>
        </w:tc>
        <w:tc>
          <w:tcPr>
            <w:tcW w:w="989" w:type="dxa"/>
          </w:tcPr>
          <w:p w:rsidR="008E0901" w:rsidRPr="00B55F5C" w:rsidRDefault="008E0901" w:rsidP="001244F6">
            <w:pPr>
              <w:pStyle w:val="NoSpacing"/>
              <w:rPr>
                <w:rFonts w:ascii="Arial" w:hAnsi="Arial" w:cs="Arial"/>
                <w:sz w:val="20"/>
                <w:szCs w:val="20"/>
              </w:rPr>
            </w:pP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a)Cabinet</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192.72</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Sft</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b)Cutlery Tray</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 xml:space="preserve">Each </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c)Hot Tray</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 xml:space="preserve">Each </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d)Plate Shelf</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Each</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e)Bottle Pull Out</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Each</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f)Elevator Basket</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Each</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g)Durst Bin</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Each</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h)Rice Tower</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Each</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i)Wheat tower</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Each</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j)Cutting Board</w:t>
            </w:r>
          </w:p>
        </w:tc>
        <w:tc>
          <w:tcPr>
            <w:tcW w:w="98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Each</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11</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Providing and fixing uPVC pipe 4" dia including cutting making and jointing with switch pest with special approved quality including all cost of labor as directed by the Engineer Incharge etc. complete.</w:t>
            </w:r>
          </w:p>
        </w:tc>
        <w:tc>
          <w:tcPr>
            <w:tcW w:w="989" w:type="dxa"/>
          </w:tcPr>
          <w:p w:rsidR="008E0901" w:rsidRPr="00B55F5C" w:rsidRDefault="008E0901" w:rsidP="001244F6">
            <w:pPr>
              <w:pStyle w:val="NoSpacing"/>
              <w:rPr>
                <w:rFonts w:ascii="Arial" w:hAnsi="Arial" w:cs="Arial"/>
                <w:sz w:val="20"/>
                <w:szCs w:val="20"/>
              </w:rPr>
            </w:pPr>
            <w:r>
              <w:rPr>
                <w:rFonts w:ascii="Arial" w:hAnsi="Arial" w:cs="Arial"/>
                <w:sz w:val="20"/>
                <w:szCs w:val="20"/>
              </w:rPr>
              <w:t>10.00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Pr>
                <w:rFonts w:ascii="Arial" w:hAnsi="Arial" w:cs="Arial"/>
                <w:sz w:val="20"/>
                <w:szCs w:val="20"/>
              </w:rPr>
              <w:t>Rft</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12</w:t>
            </w:r>
          </w:p>
        </w:tc>
        <w:tc>
          <w:tcPr>
            <w:tcW w:w="4401" w:type="dxa"/>
          </w:tcPr>
          <w:p w:rsidR="008E0901" w:rsidRPr="00B55F5C" w:rsidRDefault="008E0901" w:rsidP="001244F6">
            <w:pPr>
              <w:pStyle w:val="NoSpacing"/>
              <w:rPr>
                <w:rFonts w:ascii="Arial" w:hAnsi="Arial" w:cs="Arial"/>
                <w:sz w:val="20"/>
                <w:szCs w:val="20"/>
              </w:rPr>
            </w:pPr>
            <w:r w:rsidRPr="00B55F5C">
              <w:rPr>
                <w:rFonts w:ascii="Arial" w:hAnsi="Arial" w:cs="Arial"/>
                <w:sz w:val="20"/>
                <w:szCs w:val="20"/>
              </w:rPr>
              <w:t>Providing and fixing cPVC pipe 1/2" dia including cutting making and jointing with switch pest with special approved quality including all cost of labor as directed by the Engineer Incharge etc. complete.</w:t>
            </w:r>
          </w:p>
        </w:tc>
        <w:tc>
          <w:tcPr>
            <w:tcW w:w="989" w:type="dxa"/>
          </w:tcPr>
          <w:p w:rsidR="008E0901" w:rsidRPr="00B55F5C" w:rsidRDefault="008E0901" w:rsidP="001244F6">
            <w:pPr>
              <w:pStyle w:val="NoSpacing"/>
              <w:rPr>
                <w:rFonts w:ascii="Arial" w:hAnsi="Arial" w:cs="Arial"/>
                <w:sz w:val="20"/>
                <w:szCs w:val="20"/>
              </w:rPr>
            </w:pPr>
            <w:r>
              <w:rPr>
                <w:rFonts w:ascii="Arial" w:hAnsi="Arial" w:cs="Arial"/>
                <w:sz w:val="20"/>
                <w:szCs w:val="20"/>
              </w:rPr>
              <w:t>20.00</w:t>
            </w: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r>
              <w:rPr>
                <w:rFonts w:ascii="Arial" w:hAnsi="Arial" w:cs="Arial"/>
                <w:sz w:val="20"/>
                <w:szCs w:val="20"/>
              </w:rPr>
              <w:t>Rft</w:t>
            </w: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b/>
                <w:sz w:val="20"/>
                <w:szCs w:val="20"/>
              </w:rPr>
            </w:pPr>
            <w:r w:rsidRPr="00B55F5C">
              <w:rPr>
                <w:rFonts w:ascii="Arial" w:hAnsi="Arial" w:cs="Arial"/>
                <w:b/>
                <w:sz w:val="20"/>
                <w:szCs w:val="20"/>
              </w:rPr>
              <w:t>TOTAL NON-SCHEDULE ITEMS</w:t>
            </w:r>
          </w:p>
        </w:tc>
        <w:tc>
          <w:tcPr>
            <w:tcW w:w="989" w:type="dxa"/>
          </w:tcPr>
          <w:p w:rsidR="008E0901" w:rsidRPr="00B55F5C" w:rsidRDefault="008E0901" w:rsidP="001244F6">
            <w:pPr>
              <w:pStyle w:val="NoSpacing"/>
              <w:rPr>
                <w:rFonts w:ascii="Arial" w:hAnsi="Arial" w:cs="Arial"/>
                <w:sz w:val="20"/>
                <w:szCs w:val="20"/>
              </w:rPr>
            </w:pP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p>
        </w:tc>
        <w:tc>
          <w:tcPr>
            <w:tcW w:w="1367" w:type="dxa"/>
          </w:tcPr>
          <w:p w:rsidR="008E0901" w:rsidRPr="00B55F5C" w:rsidRDefault="008E0901" w:rsidP="001244F6">
            <w:pPr>
              <w:pStyle w:val="NoSpacing"/>
              <w:rPr>
                <w:rFonts w:ascii="Arial" w:hAnsi="Arial" w:cs="Arial"/>
                <w:sz w:val="20"/>
                <w:szCs w:val="20"/>
              </w:rPr>
            </w:pPr>
          </w:p>
        </w:tc>
      </w:tr>
      <w:tr w:rsidR="008E0901" w:rsidRPr="00B55F5C" w:rsidTr="001244F6">
        <w:tc>
          <w:tcPr>
            <w:tcW w:w="662" w:type="dxa"/>
          </w:tcPr>
          <w:p w:rsidR="008E0901" w:rsidRPr="00B55F5C" w:rsidRDefault="008E0901" w:rsidP="001244F6">
            <w:pPr>
              <w:pStyle w:val="NoSpacing"/>
              <w:rPr>
                <w:rFonts w:ascii="Arial" w:hAnsi="Arial" w:cs="Arial"/>
                <w:sz w:val="20"/>
                <w:szCs w:val="20"/>
              </w:rPr>
            </w:pPr>
          </w:p>
        </w:tc>
        <w:tc>
          <w:tcPr>
            <w:tcW w:w="4401" w:type="dxa"/>
          </w:tcPr>
          <w:p w:rsidR="008E0901" w:rsidRPr="00B55F5C" w:rsidRDefault="008E0901" w:rsidP="001244F6">
            <w:pPr>
              <w:pStyle w:val="NoSpacing"/>
              <w:rPr>
                <w:rFonts w:ascii="Arial" w:hAnsi="Arial" w:cs="Arial"/>
                <w:b/>
                <w:sz w:val="20"/>
                <w:szCs w:val="20"/>
              </w:rPr>
            </w:pPr>
            <w:r w:rsidRPr="00B55F5C">
              <w:rPr>
                <w:rFonts w:ascii="Arial" w:hAnsi="Arial" w:cs="Arial"/>
                <w:b/>
                <w:sz w:val="20"/>
                <w:szCs w:val="20"/>
              </w:rPr>
              <w:t>GRAND TOTAL</w:t>
            </w:r>
          </w:p>
        </w:tc>
        <w:tc>
          <w:tcPr>
            <w:tcW w:w="989" w:type="dxa"/>
          </w:tcPr>
          <w:p w:rsidR="008E0901" w:rsidRPr="00B55F5C" w:rsidRDefault="008E0901" w:rsidP="001244F6">
            <w:pPr>
              <w:pStyle w:val="NoSpacing"/>
              <w:rPr>
                <w:rFonts w:ascii="Arial" w:hAnsi="Arial" w:cs="Arial"/>
                <w:sz w:val="20"/>
                <w:szCs w:val="20"/>
              </w:rPr>
            </w:pPr>
          </w:p>
        </w:tc>
        <w:tc>
          <w:tcPr>
            <w:tcW w:w="1258" w:type="dxa"/>
          </w:tcPr>
          <w:p w:rsidR="008E0901" w:rsidRPr="00B55F5C" w:rsidRDefault="008E0901" w:rsidP="001244F6">
            <w:pPr>
              <w:pStyle w:val="NoSpacing"/>
              <w:rPr>
                <w:rFonts w:ascii="Arial" w:hAnsi="Arial" w:cs="Arial"/>
                <w:sz w:val="20"/>
                <w:szCs w:val="20"/>
              </w:rPr>
            </w:pPr>
          </w:p>
        </w:tc>
        <w:tc>
          <w:tcPr>
            <w:tcW w:w="899" w:type="dxa"/>
          </w:tcPr>
          <w:p w:rsidR="008E0901" w:rsidRPr="00B55F5C" w:rsidRDefault="008E0901" w:rsidP="001244F6">
            <w:pPr>
              <w:pStyle w:val="NoSpacing"/>
              <w:rPr>
                <w:rFonts w:ascii="Arial" w:hAnsi="Arial" w:cs="Arial"/>
                <w:sz w:val="20"/>
                <w:szCs w:val="20"/>
              </w:rPr>
            </w:pPr>
          </w:p>
        </w:tc>
        <w:tc>
          <w:tcPr>
            <w:tcW w:w="1367" w:type="dxa"/>
          </w:tcPr>
          <w:p w:rsidR="008E0901" w:rsidRPr="00B55F5C" w:rsidRDefault="008E0901" w:rsidP="001244F6">
            <w:pPr>
              <w:pStyle w:val="NoSpacing"/>
              <w:rPr>
                <w:rFonts w:ascii="Arial" w:hAnsi="Arial" w:cs="Arial"/>
                <w:sz w:val="20"/>
                <w:szCs w:val="20"/>
              </w:rPr>
            </w:pPr>
          </w:p>
        </w:tc>
      </w:tr>
    </w:tbl>
    <w:p w:rsidR="008E0901" w:rsidRPr="005504F3" w:rsidRDefault="008E0901" w:rsidP="008E0901">
      <w:pPr>
        <w:pStyle w:val="NoSpacing"/>
        <w:rPr>
          <w:rFonts w:ascii="Arial" w:hAnsi="Arial" w:cs="Arial"/>
          <w:sz w:val="18"/>
          <w:szCs w:val="18"/>
        </w:rPr>
      </w:pPr>
    </w:p>
    <w:p w:rsidR="008E0901" w:rsidRDefault="008E0901" w:rsidP="008E0901">
      <w:pPr>
        <w:pStyle w:val="NoSpacing"/>
        <w:rPr>
          <w:rFonts w:ascii="Arial" w:hAnsi="Arial" w:cs="Arial"/>
          <w:sz w:val="18"/>
          <w:szCs w:val="18"/>
        </w:rPr>
      </w:pPr>
    </w:p>
    <w:p w:rsidR="008E0901" w:rsidRPr="005504F3" w:rsidRDefault="008E0901" w:rsidP="008E0901">
      <w:pPr>
        <w:pStyle w:val="NoSpacing"/>
        <w:rPr>
          <w:rFonts w:ascii="Arial" w:hAnsi="Arial" w:cs="Arial"/>
          <w:sz w:val="18"/>
          <w:szCs w:val="18"/>
        </w:rPr>
      </w:pPr>
      <w:r w:rsidRPr="005504F3">
        <w:rPr>
          <w:rFonts w:ascii="Arial" w:hAnsi="Arial" w:cs="Arial"/>
          <w:b/>
          <w:sz w:val="18"/>
          <w:szCs w:val="18"/>
        </w:rPr>
        <w:t>TERMS AND CONDITION</w:t>
      </w:r>
    </w:p>
    <w:p w:rsidR="008E0901" w:rsidRPr="00B55F5C" w:rsidRDefault="008E0901" w:rsidP="008E0901">
      <w:pPr>
        <w:pStyle w:val="NoSpacing"/>
        <w:numPr>
          <w:ilvl w:val="0"/>
          <w:numId w:val="1"/>
        </w:numPr>
        <w:rPr>
          <w:rFonts w:ascii="Arial" w:hAnsi="Arial" w:cs="Arial"/>
          <w:sz w:val="20"/>
          <w:szCs w:val="18"/>
        </w:rPr>
      </w:pPr>
      <w:r w:rsidRPr="00B55F5C">
        <w:rPr>
          <w:rFonts w:ascii="Arial" w:hAnsi="Arial" w:cs="Arial"/>
          <w:sz w:val="20"/>
          <w:szCs w:val="18"/>
        </w:rPr>
        <w:t>Any typographical errors in the schedule B are subject to the correction with</w:t>
      </w:r>
    </w:p>
    <w:p w:rsidR="008E0901" w:rsidRPr="00B55F5C" w:rsidRDefault="008E0901" w:rsidP="008E0901">
      <w:pPr>
        <w:pStyle w:val="NoSpacing"/>
        <w:rPr>
          <w:rFonts w:ascii="Arial" w:hAnsi="Arial" w:cs="Arial"/>
          <w:sz w:val="20"/>
          <w:szCs w:val="18"/>
        </w:rPr>
      </w:pPr>
      <w:r w:rsidRPr="00B55F5C">
        <w:rPr>
          <w:rFonts w:ascii="Arial" w:hAnsi="Arial" w:cs="Arial"/>
          <w:sz w:val="20"/>
          <w:szCs w:val="18"/>
        </w:rPr>
        <w:t xml:space="preserve">              Reference to the Schedule of rate General 2012 enforced from 12.07.2012 as</w:t>
      </w:r>
    </w:p>
    <w:p w:rsidR="008E0901" w:rsidRPr="00B55F5C" w:rsidRDefault="008E0901" w:rsidP="008E0901">
      <w:pPr>
        <w:pStyle w:val="NoSpacing"/>
        <w:rPr>
          <w:rFonts w:ascii="Arial" w:hAnsi="Arial" w:cs="Arial"/>
          <w:sz w:val="20"/>
          <w:szCs w:val="18"/>
        </w:rPr>
      </w:pPr>
      <w:r w:rsidRPr="00B55F5C">
        <w:rPr>
          <w:rFonts w:ascii="Arial" w:hAnsi="Arial" w:cs="Arial"/>
          <w:sz w:val="20"/>
          <w:szCs w:val="18"/>
        </w:rPr>
        <w:t>Approved by the S R C, Sindh Karachi.</w:t>
      </w:r>
    </w:p>
    <w:p w:rsidR="008E0901" w:rsidRPr="00B55F5C" w:rsidRDefault="008E0901" w:rsidP="008E0901">
      <w:pPr>
        <w:pStyle w:val="NoSpacing"/>
        <w:numPr>
          <w:ilvl w:val="0"/>
          <w:numId w:val="1"/>
        </w:numPr>
        <w:rPr>
          <w:rFonts w:ascii="Arial" w:hAnsi="Arial" w:cs="Arial"/>
          <w:sz w:val="20"/>
          <w:szCs w:val="18"/>
        </w:rPr>
      </w:pPr>
      <w:r w:rsidRPr="00B55F5C">
        <w:rPr>
          <w:rFonts w:ascii="Arial" w:hAnsi="Arial" w:cs="Arial"/>
          <w:sz w:val="20"/>
          <w:szCs w:val="18"/>
        </w:rPr>
        <w:t>Arbitration clause stand deleted from the agreement.</w:t>
      </w:r>
    </w:p>
    <w:p w:rsidR="008E0901" w:rsidRPr="00B55F5C" w:rsidRDefault="008E0901" w:rsidP="008E0901">
      <w:pPr>
        <w:pStyle w:val="NoSpacing"/>
        <w:numPr>
          <w:ilvl w:val="0"/>
          <w:numId w:val="1"/>
        </w:numPr>
        <w:rPr>
          <w:rFonts w:ascii="Arial" w:hAnsi="Arial" w:cs="Arial"/>
          <w:sz w:val="20"/>
          <w:szCs w:val="18"/>
        </w:rPr>
      </w:pPr>
      <w:r w:rsidRPr="00B55F5C">
        <w:rPr>
          <w:rFonts w:ascii="Arial" w:hAnsi="Arial" w:cs="Arial"/>
          <w:sz w:val="20"/>
          <w:szCs w:val="18"/>
        </w:rPr>
        <w:t>No premium shall be paid on a Non schedule items.</w:t>
      </w:r>
    </w:p>
    <w:p w:rsidR="008E0901" w:rsidRPr="00B55F5C" w:rsidRDefault="008E0901" w:rsidP="008E0901">
      <w:pPr>
        <w:pStyle w:val="NoSpacing"/>
        <w:numPr>
          <w:ilvl w:val="0"/>
          <w:numId w:val="1"/>
        </w:numPr>
        <w:rPr>
          <w:rFonts w:ascii="Arial" w:hAnsi="Arial" w:cs="Arial"/>
          <w:sz w:val="20"/>
          <w:szCs w:val="18"/>
        </w:rPr>
      </w:pPr>
      <w:r w:rsidRPr="00B55F5C">
        <w:rPr>
          <w:rFonts w:ascii="Arial" w:hAnsi="Arial" w:cs="Arial"/>
          <w:sz w:val="20"/>
          <w:szCs w:val="18"/>
        </w:rPr>
        <w:t>100% WELL Graded crush bijri shall be used in items of work without any extra</w:t>
      </w:r>
    </w:p>
    <w:p w:rsidR="008E0901" w:rsidRPr="00B55F5C" w:rsidRDefault="008E0901" w:rsidP="008E0901">
      <w:pPr>
        <w:pStyle w:val="NoSpacing"/>
        <w:ind w:left="360"/>
        <w:rPr>
          <w:rFonts w:ascii="Arial" w:hAnsi="Arial" w:cs="Arial"/>
          <w:sz w:val="20"/>
          <w:szCs w:val="18"/>
        </w:rPr>
      </w:pPr>
      <w:r w:rsidRPr="00B55F5C">
        <w:rPr>
          <w:rFonts w:ascii="Arial" w:hAnsi="Arial" w:cs="Arial"/>
          <w:sz w:val="20"/>
          <w:szCs w:val="18"/>
        </w:rPr>
        <w:t>Payment.</w:t>
      </w:r>
    </w:p>
    <w:p w:rsidR="008E0901" w:rsidRPr="00B55F5C" w:rsidRDefault="008E0901" w:rsidP="008E0901">
      <w:pPr>
        <w:pStyle w:val="NoSpacing"/>
        <w:numPr>
          <w:ilvl w:val="0"/>
          <w:numId w:val="1"/>
        </w:numPr>
        <w:rPr>
          <w:rFonts w:ascii="Arial" w:hAnsi="Arial" w:cs="Arial"/>
          <w:sz w:val="20"/>
          <w:szCs w:val="18"/>
        </w:rPr>
      </w:pPr>
      <w:r w:rsidRPr="00B55F5C">
        <w:rPr>
          <w:rFonts w:ascii="Arial" w:hAnsi="Arial" w:cs="Arial"/>
          <w:sz w:val="20"/>
          <w:szCs w:val="18"/>
        </w:rPr>
        <w:t>No any items of exvceed than the quality provided in the schedule B without prior Executive Engineer.</w:t>
      </w:r>
    </w:p>
    <w:p w:rsidR="008E0901" w:rsidRPr="00B55F5C" w:rsidRDefault="008E0901" w:rsidP="008E0901">
      <w:pPr>
        <w:pStyle w:val="NoSpacing"/>
        <w:numPr>
          <w:ilvl w:val="0"/>
          <w:numId w:val="1"/>
        </w:numPr>
        <w:rPr>
          <w:rFonts w:ascii="Arial" w:hAnsi="Arial" w:cs="Arial"/>
          <w:sz w:val="20"/>
          <w:szCs w:val="18"/>
        </w:rPr>
      </w:pPr>
      <w:r w:rsidRPr="00B55F5C">
        <w:rPr>
          <w:rFonts w:ascii="Arial" w:hAnsi="Arial" w:cs="Arial"/>
          <w:sz w:val="20"/>
          <w:szCs w:val="18"/>
        </w:rPr>
        <w:t>All sample of items should be got approved by the Executive Engineer.</w:t>
      </w:r>
    </w:p>
    <w:p w:rsidR="008E0901" w:rsidRPr="00B55F5C" w:rsidRDefault="008E0901" w:rsidP="008E0901">
      <w:pPr>
        <w:pStyle w:val="NoSpacing"/>
        <w:rPr>
          <w:rFonts w:ascii="Arial" w:hAnsi="Arial" w:cs="Arial"/>
          <w:sz w:val="20"/>
          <w:szCs w:val="18"/>
        </w:rPr>
      </w:pPr>
    </w:p>
    <w:p w:rsidR="008E0901" w:rsidRPr="00B55F5C" w:rsidRDefault="008E0901" w:rsidP="008E0901">
      <w:pPr>
        <w:pStyle w:val="NoSpacing"/>
        <w:rPr>
          <w:rFonts w:ascii="Arial" w:hAnsi="Arial" w:cs="Arial"/>
          <w:sz w:val="20"/>
          <w:szCs w:val="18"/>
        </w:rPr>
      </w:pPr>
    </w:p>
    <w:p w:rsidR="008E0901" w:rsidRPr="00B55F5C" w:rsidRDefault="008E0901" w:rsidP="008E0901">
      <w:pPr>
        <w:pStyle w:val="NoSpacing"/>
        <w:rPr>
          <w:rFonts w:ascii="Arial" w:hAnsi="Arial" w:cs="Arial"/>
          <w:sz w:val="20"/>
          <w:szCs w:val="18"/>
        </w:rPr>
      </w:pPr>
    </w:p>
    <w:p w:rsidR="008E0901" w:rsidRPr="00B55F5C" w:rsidRDefault="008E0901" w:rsidP="008E0901">
      <w:pPr>
        <w:pStyle w:val="NoSpacing"/>
        <w:rPr>
          <w:rFonts w:ascii="Arial" w:hAnsi="Arial" w:cs="Arial"/>
          <w:sz w:val="20"/>
          <w:szCs w:val="18"/>
        </w:rPr>
      </w:pPr>
      <w:r w:rsidRPr="00B55F5C">
        <w:rPr>
          <w:rFonts w:ascii="Arial" w:hAnsi="Arial" w:cs="Arial"/>
          <w:sz w:val="20"/>
          <w:szCs w:val="18"/>
        </w:rPr>
        <w:t>CONTRACTOR                                                                                          ASSISTANT ENGINEER</w:t>
      </w:r>
    </w:p>
    <w:p w:rsidR="008E0901" w:rsidRPr="00B55F5C" w:rsidRDefault="008E0901" w:rsidP="008E0901">
      <w:pPr>
        <w:pStyle w:val="NoSpacing"/>
        <w:rPr>
          <w:rFonts w:ascii="Arial" w:hAnsi="Arial" w:cs="Arial"/>
          <w:sz w:val="20"/>
          <w:szCs w:val="18"/>
        </w:rPr>
      </w:pPr>
      <w:r w:rsidRPr="00B55F5C">
        <w:rPr>
          <w:rFonts w:ascii="Arial" w:hAnsi="Arial" w:cs="Arial"/>
          <w:sz w:val="20"/>
          <w:szCs w:val="18"/>
        </w:rPr>
        <w:t xml:space="preserve">                                                                                                     PROVINCIAL BUILDING SUB DIVISON </w:t>
      </w:r>
    </w:p>
    <w:p w:rsidR="008E0901" w:rsidRPr="00B55F5C" w:rsidRDefault="008E0901" w:rsidP="008E0901">
      <w:pPr>
        <w:pStyle w:val="NoSpacing"/>
        <w:ind w:left="6480" w:firstLine="720"/>
        <w:rPr>
          <w:rFonts w:ascii="Arial" w:hAnsi="Arial" w:cs="Arial"/>
          <w:sz w:val="20"/>
          <w:szCs w:val="18"/>
        </w:rPr>
      </w:pPr>
      <w:r w:rsidRPr="00B55F5C">
        <w:rPr>
          <w:rFonts w:ascii="Arial" w:hAnsi="Arial" w:cs="Arial"/>
          <w:sz w:val="20"/>
          <w:szCs w:val="18"/>
        </w:rPr>
        <w:t>KARACHI</w:t>
      </w:r>
    </w:p>
    <w:p w:rsidR="008E0901" w:rsidRDefault="008E0901" w:rsidP="008E0901">
      <w:pPr>
        <w:pStyle w:val="NoSpacing"/>
        <w:rPr>
          <w:rFonts w:ascii="Arial" w:hAnsi="Arial" w:cs="Arial"/>
          <w:sz w:val="18"/>
          <w:szCs w:val="18"/>
        </w:rPr>
      </w:pPr>
    </w:p>
    <w:p w:rsidR="001C6073" w:rsidRDefault="001C6073"/>
    <w:sectPr w:rsidR="001C6073" w:rsidSect="008E0901">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4E69B5"/>
    <w:multiLevelType w:val="hybridMultilevel"/>
    <w:tmpl w:val="3D2297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rsids>
    <w:rsidRoot w:val="008E0901"/>
    <w:rsid w:val="001C6073"/>
    <w:rsid w:val="008E090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90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E0901"/>
    <w:pPr>
      <w:spacing w:after="0" w:line="240" w:lineRule="auto"/>
    </w:pPr>
    <w:rPr>
      <w:rFonts w:eastAsiaTheme="minorEastAsia"/>
    </w:rPr>
  </w:style>
  <w:style w:type="character" w:customStyle="1" w:styleId="NoSpacingChar">
    <w:name w:val="No Spacing Char"/>
    <w:basedOn w:val="DefaultParagraphFont"/>
    <w:link w:val="NoSpacing"/>
    <w:uiPriority w:val="1"/>
    <w:locked/>
    <w:rsid w:val="008E0901"/>
    <w:rPr>
      <w:rFonts w:eastAsiaTheme="minorEastAsia"/>
    </w:rPr>
  </w:style>
  <w:style w:type="table" w:styleId="TableGrid">
    <w:name w:val="Table Grid"/>
    <w:basedOn w:val="TableNormal"/>
    <w:uiPriority w:val="59"/>
    <w:rsid w:val="008E09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701</Words>
  <Characters>3999</Characters>
  <Application>Microsoft Office Word</Application>
  <DocSecurity>0</DocSecurity>
  <Lines>33</Lines>
  <Paragraphs>9</Paragraphs>
  <ScaleCrop>false</ScaleCrop>
  <Company/>
  <LinksUpToDate>false</LinksUpToDate>
  <CharactersWithSpaces>4691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JABIR HUSSAIN MEMON</dc:creator>
  <cp:lastModifiedBy>JABIR HUSSAIN MEMON</cp:lastModifiedBy>
  <cp:revision>1</cp:revision>
  <dcterms:created xsi:type="dcterms:W3CDTF">2017-03-29T08:47:00Z</dcterms:created>
  <dcterms:modified xsi:type="dcterms:W3CDTF">2017-03-29T08:47:00Z</dcterms:modified>
</cp:coreProperties>
</file>