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1E4068"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E.N.T</w:t>
      </w:r>
      <w:r w:rsidR="003F6FC9">
        <w:rPr>
          <w:rFonts w:ascii="Times New Roman" w:eastAsia="Times New Roman" w:hAnsi="Times New Roman" w:cs="Times New Roman"/>
          <w:b/>
          <w:bCs/>
          <w:color w:val="000000"/>
          <w:sz w:val="34"/>
          <w:szCs w:val="24"/>
          <w:u w:val="single"/>
        </w:rPr>
        <w:t xml:space="preserve"> OPD</w:t>
      </w:r>
    </w:p>
    <w:p w:rsidR="003F6FC9" w:rsidRDefault="00F63127" w:rsidP="008C5BAF">
      <w:pPr>
        <w:jc w:val="center"/>
        <w:rPr>
          <w:rFonts w:ascii="Times New Roman" w:hAnsi="Times New Roman" w:cs="Times New Roman"/>
          <w:sz w:val="28"/>
          <w:szCs w:val="24"/>
        </w:rPr>
      </w:pPr>
      <w:r w:rsidRPr="00EF6657">
        <w:rPr>
          <w:rFonts w:ascii="Times New Roman" w:hAnsi="Times New Roman" w:cs="Times New Roman"/>
          <w:sz w:val="28"/>
          <w:szCs w:val="24"/>
        </w:rPr>
        <w:t xml:space="preserve">CIVIL </w:t>
      </w:r>
      <w:r w:rsidR="00CD27C8" w:rsidRPr="00EF6657">
        <w:rPr>
          <w:rFonts w:ascii="Times New Roman" w:hAnsi="Times New Roman" w:cs="Times New Roman"/>
          <w:sz w:val="28"/>
          <w:szCs w:val="24"/>
        </w:rPr>
        <w:t>WORKS</w:t>
      </w:r>
      <w:r w:rsidR="00EF6657" w:rsidRPr="00EF6657">
        <w:rPr>
          <w:rFonts w:ascii="Times New Roman" w:hAnsi="Times New Roman" w:cs="Times New Roman"/>
          <w:sz w:val="28"/>
          <w:szCs w:val="24"/>
        </w:rPr>
        <w:t xml:space="preserve"> (</w:t>
      </w:r>
      <w:r w:rsidR="00FC0F25">
        <w:rPr>
          <w:rFonts w:ascii="Times New Roman" w:hAnsi="Times New Roman" w:cs="Times New Roman"/>
          <w:sz w:val="28"/>
          <w:szCs w:val="24"/>
        </w:rPr>
        <w:t>TILE WORKS</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FC0F25">
        <w:rPr>
          <w:rFonts w:ascii="Times New Roman" w:hAnsi="Times New Roman" w:cs="Times New Roman"/>
          <w:b/>
          <w:color w:val="000000" w:themeColor="text1"/>
          <w:sz w:val="34"/>
        </w:rPr>
        <w:t>999</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FC0F25" w:rsidRDefault="008C5BAF" w:rsidP="00FC0F25">
      <w:pPr>
        <w:pStyle w:val="NoSpacing"/>
        <w:ind w:left="2880" w:hanging="2880"/>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1E4068">
        <w:rPr>
          <w:rFonts w:ascii="Times New Roman" w:hAnsi="Times New Roman"/>
          <w:sz w:val="24"/>
          <w:szCs w:val="24"/>
        </w:rPr>
        <w:t>E.N.T</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8C5BAF" w:rsidRDefault="00FC0F25" w:rsidP="00FC0F25">
      <w:pPr>
        <w:pStyle w:val="NoSpacing"/>
        <w:ind w:left="2880" w:hanging="288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(Tile Works)</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1E4068"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E.N.T</w:t>
            </w:r>
            <w:r w:rsidR="009B3CCE">
              <w:rPr>
                <w:rFonts w:ascii="Arial" w:eastAsia="Times New Roman" w:hAnsi="Arial" w:cs="Arial"/>
                <w:b/>
                <w:bCs/>
                <w:color w:val="000000"/>
                <w:sz w:val="24"/>
                <w:szCs w:val="24"/>
                <w:u w:val="single"/>
              </w:rPr>
              <w:t xml:space="preserve"> </w:t>
            </w:r>
            <w:r w:rsidR="000C5F10">
              <w:rPr>
                <w:rFonts w:ascii="Arial" w:eastAsia="Times New Roman" w:hAnsi="Arial" w:cs="Arial"/>
                <w:b/>
                <w:bCs/>
                <w:color w:val="000000"/>
                <w:sz w:val="24"/>
                <w:szCs w:val="24"/>
                <w:u w:val="single"/>
              </w:rPr>
              <w:t>OPD</w:t>
            </w:r>
            <w:r>
              <w:rPr>
                <w:rFonts w:ascii="Arial" w:eastAsia="Times New Roman" w:hAnsi="Arial" w:cs="Arial"/>
                <w:b/>
                <w:bCs/>
                <w:color w:val="000000"/>
                <w:sz w:val="24"/>
                <w:szCs w:val="24"/>
                <w:u w:val="single"/>
              </w:rPr>
              <w:t xml:space="preserve"> (TILE WORKS)</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10</w:t>
            </w:r>
          </w:p>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19</w:t>
            </w:r>
          </w:p>
          <w:p w:rsidR="00575D9D"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(c)</w:t>
            </w:r>
          </w:p>
          <w:p w:rsidR="00FC0F25" w:rsidRPr="007F79E2" w:rsidRDefault="00FC0F25" w:rsidP="00FC0F25">
            <w:pPr>
              <w:spacing w:after="0" w:line="240" w:lineRule="auto"/>
              <w:contextualSpacing/>
              <w:jc w:val="center"/>
              <w:rPr>
                <w:rFonts w:ascii="Arial" w:eastAsia="Times New Roman" w:hAnsi="Arial" w:cs="Arial"/>
                <w:bCs/>
                <w:color w:val="000000"/>
              </w:rPr>
            </w:pP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Pr="007F79E2" w:rsidRDefault="00FC0F25" w:rsidP="0005306F">
            <w:pPr>
              <w:spacing w:line="240" w:lineRule="auto"/>
              <w:contextualSpacing/>
              <w:jc w:val="both"/>
              <w:rPr>
                <w:rFonts w:ascii="Arial" w:hAnsi="Arial" w:cs="Arial"/>
                <w:bCs/>
                <w:color w:val="000000"/>
              </w:rPr>
            </w:pPr>
            <w:r w:rsidRPr="00FC0F25">
              <w:rPr>
                <w:rFonts w:ascii="Arial" w:hAnsi="Arial" w:cs="Arial"/>
                <w:bCs/>
                <w:color w:val="000000"/>
              </w:rPr>
              <w:t>Dismantling cement concrete plain 1:2:4:</w:t>
            </w: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color w:val="000000"/>
              </w:rPr>
            </w:pPr>
            <w:r>
              <w:rPr>
                <w:rFonts w:ascii="Arial" w:hAnsi="Arial" w:cs="Arial"/>
                <w:color w:val="000000"/>
              </w:rPr>
              <w:t>% Cft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rPr>
            </w:pPr>
            <w:r>
              <w:rPr>
                <w:rFonts w:ascii="Arial" w:hAnsi="Arial" w:cs="Arial"/>
              </w:rPr>
              <w:t>45</w:t>
            </w:r>
            <w:r w:rsidR="00796DD7">
              <w:rPr>
                <w:rFonts w:ascii="Arial" w:hAnsi="Arial" w:cs="Arial"/>
              </w:rPr>
              <w:t>0</w:t>
            </w:r>
            <w:r w:rsidR="00575D9D">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color w:val="000000"/>
              </w:rPr>
            </w:pPr>
            <w:r>
              <w:rPr>
                <w:rFonts w:ascii="Arial" w:hAnsi="Arial" w:cs="Arial"/>
                <w:color w:val="000000"/>
              </w:rPr>
              <w:t xml:space="preserve">Rs. </w:t>
            </w:r>
            <w:r w:rsidR="00FC0F25">
              <w:rPr>
                <w:rFonts w:ascii="Arial" w:hAnsi="Arial" w:cs="Arial"/>
                <w:color w:val="000000"/>
              </w:rPr>
              <w:t>3,327.50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b/>
                <w:bCs/>
                <w:color w:val="000000"/>
              </w:rPr>
            </w:pPr>
            <w:r>
              <w:rPr>
                <w:rFonts w:ascii="Arial" w:hAnsi="Arial" w:cs="Arial"/>
                <w:b/>
                <w:bCs/>
                <w:color w:val="000000"/>
              </w:rPr>
              <w:t xml:space="preserve">Rs. </w:t>
            </w:r>
            <w:r w:rsidR="00FC0F25">
              <w:rPr>
                <w:rFonts w:ascii="Arial" w:hAnsi="Arial" w:cs="Arial"/>
                <w:b/>
                <w:bCs/>
                <w:color w:val="000000"/>
              </w:rPr>
              <w:t>14,973.75</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48</w:t>
            </w:r>
          </w:p>
          <w:p w:rsidR="00575D9D" w:rsidRPr="007F79E2"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62</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both"/>
              <w:rPr>
                <w:rFonts w:ascii="Arial" w:hAnsi="Arial" w:cs="Arial"/>
                <w:bCs/>
                <w:color w:val="000000"/>
              </w:rPr>
            </w:pPr>
            <w:r w:rsidRPr="00FC0F25">
              <w:rPr>
                <w:rFonts w:ascii="Arial" w:hAnsi="Arial" w:cs="Arial"/>
                <w:bCs/>
                <w:color w:val="000000"/>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p>
          <w:p w:rsidR="00FC0F25" w:rsidRPr="007F79E2" w:rsidRDefault="00FC0F25"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color w:val="000000"/>
              </w:rPr>
            </w:pPr>
            <w:r>
              <w:rPr>
                <w:rFonts w:ascii="Arial" w:hAnsi="Arial" w:cs="Arial"/>
                <w:color w:val="000000"/>
              </w:rPr>
              <w:t xml:space="preserve">% </w:t>
            </w:r>
            <w:r w:rsidR="00575D9D">
              <w:rPr>
                <w:rFonts w:ascii="Arial" w:hAnsi="Arial" w:cs="Arial"/>
                <w:color w:val="000000"/>
              </w:rPr>
              <w:t>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rPr>
            </w:pPr>
            <w:r>
              <w:rPr>
                <w:rFonts w:ascii="Arial" w:hAnsi="Arial" w:cs="Arial"/>
              </w:rPr>
              <w:t>2,850</w:t>
            </w:r>
            <w:r w:rsidR="00575D9D">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color w:val="000000"/>
              </w:rPr>
            </w:pPr>
            <w:r>
              <w:rPr>
                <w:rFonts w:ascii="Arial" w:hAnsi="Arial" w:cs="Arial"/>
                <w:color w:val="000000"/>
              </w:rPr>
              <w:t xml:space="preserve">Rs. </w:t>
            </w:r>
            <w:r w:rsidR="00FC0F25">
              <w:rPr>
                <w:rFonts w:ascii="Arial" w:hAnsi="Arial" w:cs="Arial"/>
                <w:color w:val="000000"/>
              </w:rPr>
              <w:t>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b/>
                <w:bCs/>
                <w:color w:val="000000"/>
              </w:rPr>
            </w:pPr>
            <w:r>
              <w:rPr>
                <w:rFonts w:ascii="Arial" w:hAnsi="Arial" w:cs="Arial"/>
                <w:b/>
                <w:bCs/>
                <w:color w:val="000000"/>
              </w:rPr>
              <w:t xml:space="preserve">Rs. </w:t>
            </w:r>
            <w:r w:rsidR="00FC0F25">
              <w:rPr>
                <w:rFonts w:ascii="Arial" w:hAnsi="Arial" w:cs="Arial"/>
                <w:b/>
                <w:bCs/>
                <w:color w:val="000000"/>
              </w:rPr>
              <w:t>983,828.84</w:t>
            </w:r>
          </w:p>
        </w:tc>
      </w:tr>
      <w:tr w:rsidR="00BE2C6C"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C6C" w:rsidRPr="00EE7E82" w:rsidRDefault="00BE2C6C"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E2C6C" w:rsidRPr="00EE7E82" w:rsidRDefault="00BE2C6C" w:rsidP="00FC0F25">
            <w:pPr>
              <w:spacing w:after="0"/>
              <w:jc w:val="right"/>
              <w:rPr>
                <w:rFonts w:ascii="Arial" w:hAnsi="Arial" w:cs="Arial"/>
                <w:b/>
                <w:bCs/>
                <w:color w:val="000000"/>
              </w:rPr>
            </w:pPr>
            <w:r>
              <w:rPr>
                <w:rFonts w:ascii="Arial" w:hAnsi="Arial" w:cs="Arial"/>
                <w:b/>
                <w:bCs/>
                <w:color w:val="000000"/>
              </w:rPr>
              <w:t xml:space="preserve">Rs. </w:t>
            </w:r>
            <w:r w:rsidR="00FC0F25">
              <w:rPr>
                <w:rFonts w:ascii="Arial" w:hAnsi="Arial" w:cs="Arial"/>
                <w:b/>
                <w:bCs/>
                <w:color w:val="000000"/>
              </w:rPr>
              <w:t>998,802.59</w:t>
            </w:r>
          </w:p>
        </w:tc>
      </w:tr>
      <w:tr w:rsidR="00BE2C6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C6C" w:rsidRPr="00003926" w:rsidRDefault="00BE2C6C"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E2C6C" w:rsidRDefault="00BE2C6C" w:rsidP="00EA3645">
            <w:pPr>
              <w:spacing w:after="0" w:line="240" w:lineRule="auto"/>
              <w:jc w:val="right"/>
              <w:rPr>
                <w:rFonts w:ascii="Arial" w:eastAsia="Times New Roman" w:hAnsi="Arial" w:cs="Arial"/>
                <w:b/>
                <w:bCs/>
                <w:color w:val="000000"/>
                <w:szCs w:val="24"/>
              </w:rPr>
            </w:pPr>
          </w:p>
          <w:p w:rsidR="00BE2C6C" w:rsidRDefault="00BE2C6C" w:rsidP="00EA3645">
            <w:pPr>
              <w:spacing w:after="0" w:line="240" w:lineRule="auto"/>
              <w:jc w:val="right"/>
              <w:rPr>
                <w:rFonts w:ascii="Arial" w:eastAsia="Times New Roman" w:hAnsi="Arial" w:cs="Arial"/>
                <w:b/>
                <w:bCs/>
                <w:color w:val="000000"/>
                <w:szCs w:val="24"/>
              </w:rPr>
            </w:pPr>
          </w:p>
          <w:p w:rsidR="00BE2C6C" w:rsidRPr="00593A19" w:rsidRDefault="00BE2C6C" w:rsidP="00EA3645">
            <w:pPr>
              <w:spacing w:after="0" w:line="240" w:lineRule="auto"/>
              <w:jc w:val="right"/>
              <w:rPr>
                <w:rFonts w:ascii="Arial" w:eastAsia="Times New Roman" w:hAnsi="Arial" w:cs="Arial"/>
                <w:b/>
                <w:bCs/>
                <w:color w:val="000000"/>
                <w:sz w:val="8"/>
                <w:szCs w:val="24"/>
              </w:rPr>
            </w:pPr>
          </w:p>
        </w:tc>
      </w:tr>
      <w:tr w:rsidR="00BE2C6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BE2C6C" w:rsidRPr="00003926" w:rsidRDefault="00BE2C6C"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BE2C6C" w:rsidRDefault="00BE2C6C" w:rsidP="00EA3645">
            <w:pPr>
              <w:spacing w:after="0" w:line="240" w:lineRule="auto"/>
              <w:jc w:val="right"/>
              <w:rPr>
                <w:rFonts w:ascii="Arial" w:eastAsia="Times New Roman" w:hAnsi="Arial" w:cs="Arial"/>
                <w:b/>
                <w:bCs/>
                <w:color w:val="000000"/>
                <w:szCs w:val="24"/>
              </w:rPr>
            </w:pPr>
          </w:p>
          <w:p w:rsidR="00BE2C6C" w:rsidRDefault="00BE2C6C" w:rsidP="00EA3645">
            <w:pPr>
              <w:spacing w:after="0" w:line="240" w:lineRule="auto"/>
              <w:jc w:val="right"/>
              <w:rPr>
                <w:rFonts w:ascii="Arial" w:eastAsia="Times New Roman" w:hAnsi="Arial" w:cs="Arial"/>
                <w:b/>
                <w:bCs/>
                <w:color w:val="000000"/>
                <w:szCs w:val="24"/>
              </w:rPr>
            </w:pPr>
          </w:p>
          <w:p w:rsidR="00BE2C6C" w:rsidRPr="00003926" w:rsidRDefault="00BE2C6C" w:rsidP="00EA3645">
            <w:pPr>
              <w:spacing w:after="0" w:line="240" w:lineRule="auto"/>
              <w:jc w:val="right"/>
              <w:rPr>
                <w:rFonts w:ascii="Arial" w:eastAsia="Times New Roman" w:hAnsi="Arial" w:cs="Arial"/>
                <w:b/>
                <w:bCs/>
                <w:color w:val="000000"/>
                <w:szCs w:val="24"/>
              </w:rPr>
            </w:pPr>
          </w:p>
        </w:tc>
      </w:tr>
    </w:tbl>
    <w:p w:rsidR="006810DE"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BC1" w:rsidRDefault="00336BC1" w:rsidP="00F75FE0">
      <w:pPr>
        <w:spacing w:after="0" w:line="240" w:lineRule="auto"/>
      </w:pPr>
      <w:r>
        <w:separator/>
      </w:r>
    </w:p>
  </w:endnote>
  <w:endnote w:type="continuationSeparator" w:id="1">
    <w:p w:rsidR="00336BC1" w:rsidRDefault="00336BC1"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9A05C9">
              <w:rPr>
                <w:b/>
                <w:sz w:val="24"/>
                <w:szCs w:val="24"/>
              </w:rPr>
              <w:fldChar w:fldCharType="begin"/>
            </w:r>
            <w:r>
              <w:rPr>
                <w:b/>
              </w:rPr>
              <w:instrText xml:space="preserve"> PAGE </w:instrText>
            </w:r>
            <w:r w:rsidR="009A05C9">
              <w:rPr>
                <w:b/>
                <w:sz w:val="24"/>
                <w:szCs w:val="24"/>
              </w:rPr>
              <w:fldChar w:fldCharType="separate"/>
            </w:r>
            <w:r w:rsidR="007D3251">
              <w:rPr>
                <w:b/>
                <w:noProof/>
              </w:rPr>
              <w:t>1</w:t>
            </w:r>
            <w:r w:rsidR="009A05C9">
              <w:rPr>
                <w:b/>
                <w:sz w:val="24"/>
                <w:szCs w:val="24"/>
              </w:rPr>
              <w:fldChar w:fldCharType="end"/>
            </w:r>
            <w:r>
              <w:t xml:space="preserve"> of </w:t>
            </w:r>
            <w:r w:rsidR="009A05C9">
              <w:rPr>
                <w:b/>
                <w:sz w:val="24"/>
                <w:szCs w:val="24"/>
              </w:rPr>
              <w:fldChar w:fldCharType="begin"/>
            </w:r>
            <w:r>
              <w:rPr>
                <w:b/>
              </w:rPr>
              <w:instrText xml:space="preserve"> NUMPAGES  </w:instrText>
            </w:r>
            <w:r w:rsidR="009A05C9">
              <w:rPr>
                <w:b/>
                <w:sz w:val="24"/>
                <w:szCs w:val="24"/>
              </w:rPr>
              <w:fldChar w:fldCharType="separate"/>
            </w:r>
            <w:r w:rsidR="007D3251">
              <w:rPr>
                <w:b/>
                <w:noProof/>
              </w:rPr>
              <w:t>12</w:t>
            </w:r>
            <w:r w:rsidR="009A05C9">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BC1" w:rsidRDefault="00336BC1" w:rsidP="00F75FE0">
      <w:pPr>
        <w:spacing w:after="0" w:line="240" w:lineRule="auto"/>
      </w:pPr>
      <w:r>
        <w:separator/>
      </w:r>
    </w:p>
  </w:footnote>
  <w:footnote w:type="continuationSeparator" w:id="1">
    <w:p w:rsidR="00336BC1" w:rsidRDefault="00336BC1"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06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105CD"/>
    <w:rsid w:val="00315630"/>
    <w:rsid w:val="00317A83"/>
    <w:rsid w:val="00321D90"/>
    <w:rsid w:val="0033270C"/>
    <w:rsid w:val="00333000"/>
    <w:rsid w:val="00336BC1"/>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02B0"/>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14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C7634"/>
    <w:rsid w:val="007D1470"/>
    <w:rsid w:val="007D3251"/>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413E3"/>
    <w:rsid w:val="009420E0"/>
    <w:rsid w:val="00943603"/>
    <w:rsid w:val="00944795"/>
    <w:rsid w:val="00946B24"/>
    <w:rsid w:val="00951E68"/>
    <w:rsid w:val="009535F2"/>
    <w:rsid w:val="0095550E"/>
    <w:rsid w:val="00955ECE"/>
    <w:rsid w:val="00955F16"/>
    <w:rsid w:val="0095671B"/>
    <w:rsid w:val="00957E36"/>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05C9"/>
    <w:rsid w:val="009A2A59"/>
    <w:rsid w:val="009A331C"/>
    <w:rsid w:val="009A3AD4"/>
    <w:rsid w:val="009A6C11"/>
    <w:rsid w:val="009B227D"/>
    <w:rsid w:val="009B3CCE"/>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288"/>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A51"/>
    <w:rsid w:val="00BB2F46"/>
    <w:rsid w:val="00BB7292"/>
    <w:rsid w:val="00BB746B"/>
    <w:rsid w:val="00BC380E"/>
    <w:rsid w:val="00BC3970"/>
    <w:rsid w:val="00BC5704"/>
    <w:rsid w:val="00BC7D90"/>
    <w:rsid w:val="00BD006D"/>
    <w:rsid w:val="00BD1ECB"/>
    <w:rsid w:val="00BD613F"/>
    <w:rsid w:val="00BE0A49"/>
    <w:rsid w:val="00BE0E4B"/>
    <w:rsid w:val="00BE2C6C"/>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397A"/>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0C43"/>
    <w:rsid w:val="00DB3FF0"/>
    <w:rsid w:val="00DB47B2"/>
    <w:rsid w:val="00DB4DCC"/>
    <w:rsid w:val="00DB6011"/>
    <w:rsid w:val="00DB7697"/>
    <w:rsid w:val="00DB7C94"/>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29C8"/>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0F25"/>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3242</Words>
  <Characters>18480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2017-03-07T12:46:00Z</cp:lastPrinted>
  <dcterms:created xsi:type="dcterms:W3CDTF">2017-02-16T17:07:00Z</dcterms:created>
  <dcterms:modified xsi:type="dcterms:W3CDTF">2017-03-07T14:58:00Z</dcterms:modified>
</cp:coreProperties>
</file>