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B746FE" w:rsidRDefault="00B746FE" w:rsidP="00E102E6">
      <w:pPr>
        <w:pStyle w:val="ListParagraph"/>
        <w:numPr>
          <w:ilvl w:val="0"/>
          <w:numId w:val="14"/>
        </w:numPr>
        <w:ind w:left="540" w:hanging="540"/>
        <w:jc w:val="center"/>
        <w:rPr>
          <w:rFonts w:asciiTheme="majorHAnsi" w:hAnsiTheme="majorHAnsi"/>
          <w:b/>
          <w:bCs/>
          <w:sz w:val="28"/>
          <w:szCs w:val="28"/>
          <w:u w:val="single"/>
        </w:rPr>
      </w:pPr>
      <w:r w:rsidRPr="00B746FE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FROM DR. SIKANDAR HOUSE TO NOORANI CHOWK DADU CITY,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B746FE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B746FE" w:rsidRPr="00B746FE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FROM DR. SIKANDAR HOUSE TO NOORANI CHOWK DADU CITY,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515F1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515F1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B746F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From Dr.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Sikandar</w:t>
      </w:r>
      <w:proofErr w:type="spellEnd"/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 House To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Noorani</w:t>
      </w:r>
      <w:proofErr w:type="spellEnd"/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Chowk</w:t>
      </w:r>
      <w:proofErr w:type="spellEnd"/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 City,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B746FE" w:rsidRPr="00B746FE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B746FE" w:rsidRPr="00B746FE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B746FE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B746FE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FROM DR. SIKANDAR HOUSE TO NOORANI CHOWK DADU CITY,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D3122B" w:rsidRPr="004126E0" w:rsidRDefault="00D3122B" w:rsidP="00D3122B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D3122B" w:rsidRPr="004126E0" w:rsidRDefault="00D3122B" w:rsidP="00D3122B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D3122B" w:rsidRPr="004126E0" w:rsidRDefault="00D3122B" w:rsidP="00D3122B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D3122B" w:rsidRPr="004126E0" w:rsidRDefault="00D3122B" w:rsidP="00D3122B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D3122B" w:rsidRPr="004126E0" w:rsidRDefault="00D3122B" w:rsidP="00D3122B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D3122B" w:rsidRPr="004126E0" w:rsidRDefault="00D3122B" w:rsidP="00D3122B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D3122B" w:rsidRDefault="00D3122B" w:rsidP="00D3122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D3122B" w:rsidRDefault="00D3122B" w:rsidP="00D312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Pr="001E2985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3122B" w:rsidRPr="001E2985" w:rsidRDefault="00D3122B" w:rsidP="00D3122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3122B" w:rsidRDefault="00D3122B" w:rsidP="00D3122B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D3122B" w:rsidRDefault="00D3122B" w:rsidP="00D3122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D3122B" w:rsidRDefault="00D3122B" w:rsidP="00D3122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D3122B" w:rsidRDefault="00D3122B" w:rsidP="00D3122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D3122B" w:rsidRDefault="00D3122B" w:rsidP="00D3122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D3122B" w:rsidRDefault="00D3122B" w:rsidP="00D3122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22B" w:rsidRDefault="00D3122B" w:rsidP="00D312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D3122B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3122B" w:rsidRDefault="00D3122B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D3122B" w:rsidRDefault="00D3122B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3122B" w:rsidRDefault="00D3122B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D3122B" w:rsidRDefault="00D3122B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D3122B" w:rsidRDefault="00D3122B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EE06D1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E06D1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EE06D1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E06D1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EE06D1" w:rsidRPr="00EE06D1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813C7108"/>
    <w:lvl w:ilvl="0" w:tplc="3F38A90A">
      <w:start w:val="8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C5DEA"/>
    <w:rsid w:val="0041750D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6F6E63"/>
    <w:rsid w:val="00751BEB"/>
    <w:rsid w:val="00787CDA"/>
    <w:rsid w:val="007C7425"/>
    <w:rsid w:val="00833F15"/>
    <w:rsid w:val="00840DA1"/>
    <w:rsid w:val="008B714F"/>
    <w:rsid w:val="009040B6"/>
    <w:rsid w:val="009A0FB3"/>
    <w:rsid w:val="00A0706D"/>
    <w:rsid w:val="00A80B23"/>
    <w:rsid w:val="00B62F9F"/>
    <w:rsid w:val="00B746FE"/>
    <w:rsid w:val="00BB2494"/>
    <w:rsid w:val="00BE589A"/>
    <w:rsid w:val="00C76571"/>
    <w:rsid w:val="00C86E39"/>
    <w:rsid w:val="00CC2C53"/>
    <w:rsid w:val="00D24E81"/>
    <w:rsid w:val="00D3122B"/>
    <w:rsid w:val="00D3134D"/>
    <w:rsid w:val="00D515F1"/>
    <w:rsid w:val="00D544C1"/>
    <w:rsid w:val="00D836F6"/>
    <w:rsid w:val="00DB064B"/>
    <w:rsid w:val="00DC17A2"/>
    <w:rsid w:val="00DC7AFC"/>
    <w:rsid w:val="00E102E6"/>
    <w:rsid w:val="00E32010"/>
    <w:rsid w:val="00EB1085"/>
    <w:rsid w:val="00EE06D1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17785</Words>
  <Characters>101377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2017-02-11T11:48:00Z</dcterms:modified>
</cp:coreProperties>
</file>