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BC246B" w:rsidRDefault="00BC246B" w:rsidP="00BC246B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BC246B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DODANI JAMALI, SOON MIYNI &amp; MUNNI,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BC246B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BC246B" w:rsidRPr="00BC246B">
        <w:rPr>
          <w:rFonts w:asciiTheme="majorHAnsi" w:hAnsiTheme="majorHAnsi"/>
          <w:b/>
          <w:bCs/>
          <w:sz w:val="30"/>
          <w:szCs w:val="30"/>
          <w:u w:val="single"/>
        </w:rPr>
        <w:t>CONSTRUCTION OF DRAINS AND C.C BLOCK / PAVING BLOCK AT DODANI JAMALI, SOON MIYNI &amp; MUNNI,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7D2C2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7D2C2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BC246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Dodani</w:t>
      </w:r>
      <w:proofErr w:type="spellEnd"/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Jamali</w:t>
      </w:r>
      <w:proofErr w:type="spellEnd"/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, Soon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Miyni</w:t>
      </w:r>
      <w:proofErr w:type="spellEnd"/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 &amp;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Munni</w:t>
      </w:r>
      <w:proofErr w:type="spellEnd"/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BC246B" w:rsidRPr="00BC246B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BC246B" w:rsidRPr="00BC246B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BC246B" w:rsidRDefault="00BC246B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0"/>
          <w:u w:val="single"/>
        </w:rPr>
      </w:pPr>
      <w:r w:rsidRPr="00BC246B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AT DODANI JAMALI, SOON MIYNI &amp; MUNNI,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D73B1" w:rsidRDefault="00BD73B1" w:rsidP="00BD73B1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BD73B1" w:rsidRDefault="00BD73B1" w:rsidP="00BD73B1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BD73B1" w:rsidRDefault="00BD73B1" w:rsidP="00BD73B1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>
        <w:rPr>
          <w:rFonts w:ascii="Times New Roman" w:hAnsi="Times New Roman"/>
          <w:b/>
          <w:sz w:val="34"/>
          <w:szCs w:val="38"/>
        </w:rPr>
        <w:t>RURAL DEVELOPMENT DEPARTMENT</w:t>
      </w:r>
    </w:p>
    <w:p w:rsidR="00BD73B1" w:rsidRDefault="00BD73B1" w:rsidP="00BD73B1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4"/>
          <w:szCs w:val="38"/>
        </w:rPr>
        <w:t>HYDERABAD</w:t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BD73B1" w:rsidRDefault="00BD73B1" w:rsidP="00BD73B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BD73B1" w:rsidRDefault="00BD73B1" w:rsidP="00BD73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D73B1" w:rsidRDefault="00BD73B1" w:rsidP="00BD73B1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BD73B1" w:rsidRDefault="00BD73B1" w:rsidP="00BD73B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BD73B1" w:rsidRDefault="00BD73B1" w:rsidP="00BD73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BD73B1" w:rsidRDefault="00BD73B1" w:rsidP="00BD73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BD73B1" w:rsidRDefault="00BD73B1" w:rsidP="00BD73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BD73B1" w:rsidRDefault="00BD73B1" w:rsidP="00BD73B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3B1" w:rsidRDefault="00BD73B1" w:rsidP="00BD73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BD73B1" w:rsidTr="00BD73B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BD73B1" w:rsidRDefault="00BD7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BD73B1" w:rsidRDefault="00BD7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BD73B1" w:rsidRDefault="00BD7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BD73B1" w:rsidRDefault="00BD7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BD73B1" w:rsidRDefault="00BD7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9C322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9C322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C3222" w:rsidRDefault="009C322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C3222" w:rsidRDefault="009C322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C3222" w:rsidRDefault="009C322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C3222" w:rsidRDefault="009C322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904958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4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C3222" w:rsidRDefault="009C322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3222">
        <w:rPr>
          <w:szCs w:val="24"/>
        </w:rPr>
        <w:lastRenderedPageBreak/>
        <w:drawing>
          <wp:inline distT="0" distB="0" distL="0" distR="0">
            <wp:extent cx="5943600" cy="5988506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88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69F7571"/>
    <w:multiLevelType w:val="hybridMultilevel"/>
    <w:tmpl w:val="0C1A8324"/>
    <w:lvl w:ilvl="0" w:tplc="CB60DAD8">
      <w:start w:val="16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 w:numId="15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393FD3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7D2C2B"/>
    <w:rsid w:val="00833F15"/>
    <w:rsid w:val="00840DA1"/>
    <w:rsid w:val="0087607F"/>
    <w:rsid w:val="008B714F"/>
    <w:rsid w:val="009040B6"/>
    <w:rsid w:val="009A0FB3"/>
    <w:rsid w:val="009C3222"/>
    <w:rsid w:val="00A0706D"/>
    <w:rsid w:val="00A80B23"/>
    <w:rsid w:val="00B62F9F"/>
    <w:rsid w:val="00BB2494"/>
    <w:rsid w:val="00BC246B"/>
    <w:rsid w:val="00BD73B1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77</Pages>
  <Words>17779</Words>
  <Characters>101343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2017-02-11T13:09:00Z</dcterms:modified>
</cp:coreProperties>
</file>