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15" w:rsidRDefault="006B6315" w:rsidP="006B63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6B6315" w:rsidRPr="005316BB" w:rsidRDefault="006B6315" w:rsidP="006B6315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KW&amp;SB</w:t>
            </w:r>
          </w:p>
        </w:tc>
      </w:tr>
      <w:tr w:rsidR="006B6315" w:rsidRPr="000E2483" w:rsidTr="00D00B66">
        <w:trPr>
          <w:gridAfter w:val="1"/>
          <w:wAfter w:w="180" w:type="dxa"/>
        </w:trPr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6B6315" w:rsidRDefault="006B6315" w:rsidP="00D00B66">
            <w:pPr>
              <w:jc w:val="both"/>
              <w:rPr>
                <w:rFonts w:ascii="Bookman Old Style" w:hAnsi="Bookman Old Style" w:cs="Arial"/>
                <w:b/>
                <w:u w:val="single"/>
              </w:rPr>
            </w:pPr>
            <w:r>
              <w:rPr>
                <w:rFonts w:ascii="Bookman Old Style" w:hAnsi="Bookman Old Style" w:cs="Arial"/>
                <w:b/>
                <w:u w:val="single"/>
              </w:rPr>
              <w:t>RE-LAYING AND CLEANING IN PIPE WATER LINE &amp; REPAIR OF LEAKING ON PIPE WATER LINE REPLACEING OF PROVIDING &amp; FIXING C.I SLUICE VALVE AT SECTOR 3, 4, 5A-3, 5B-1, 2, 3 AND 5C-1, 3 FOR IMPROVEMENT OF WATER SUPPLY OF NORTH KARACHI.</w:t>
            </w:r>
          </w:p>
          <w:p w:rsidR="006B6315" w:rsidRPr="008F5C9D" w:rsidRDefault="006B6315" w:rsidP="00D00B66">
            <w:pPr>
              <w:jc w:val="both"/>
              <w:rPr>
                <w:rFonts w:asciiTheme="majorBidi" w:hAnsiTheme="majorBidi" w:cstheme="majorBidi"/>
                <w:sz w:val="14"/>
                <w:szCs w:val="24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North Karachi Division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The Tender in sealed cover super scribed with the name of the work should be dropped in the Tender Box kept in office of 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Director Design C.O.D Filter Plant near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Masjid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Baitul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Mukaram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Gulshan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-e-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Iqbal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Karachi on </w:t>
            </w: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7</w:t>
            </w: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-01-2017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6B6315" w:rsidRPr="000E2483" w:rsidRDefault="006B6315" w:rsidP="00D00B66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6315" w:rsidRPr="000C1666" w:rsidRDefault="006B6315" w:rsidP="006B6315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7</w:t>
            </w: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-01-2017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at 2.00 PM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Rs.1000/-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per day of delay</w:t>
            </w:r>
          </w:p>
        </w:tc>
      </w:tr>
      <w:tr w:rsidR="006B6315" w:rsidRPr="000E2483" w:rsidTr="00D00B66">
        <w:trPr>
          <w:trHeight w:val="387"/>
        </w:trPr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B6315" w:rsidRPr="000E2483" w:rsidRDefault="006B6315" w:rsidP="006B6315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 w:rsidRPr="005D54DD">
        <w:rPr>
          <w:rFonts w:asciiTheme="majorBidi" w:hAnsiTheme="majorBidi" w:cstheme="majorBidi"/>
          <w:sz w:val="24"/>
          <w:szCs w:val="24"/>
          <w:u w:val="single"/>
        </w:rPr>
        <w:t>10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00/=</w:t>
      </w:r>
    </w:p>
    <w:p w:rsidR="006B6315" w:rsidRPr="008F5C9D" w:rsidRDefault="006B6315" w:rsidP="006B6315">
      <w:pPr>
        <w:rPr>
          <w:rFonts w:asciiTheme="majorBidi" w:hAnsiTheme="majorBidi" w:cstheme="majorBidi"/>
          <w:sz w:val="34"/>
          <w:szCs w:val="44"/>
        </w:rPr>
      </w:pP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</w:p>
    <w:p w:rsidR="006B6315" w:rsidRDefault="006B6315" w:rsidP="006B6315">
      <w:pPr>
        <w:spacing w:after="0" w:line="240" w:lineRule="auto"/>
        <w:rPr>
          <w:rFonts w:asciiTheme="majorBidi" w:hAnsiTheme="majorBidi" w:cstheme="majorBidi"/>
        </w:rPr>
      </w:pP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</w:t>
      </w:r>
      <w:proofErr w:type="gramStart"/>
      <w:r>
        <w:rPr>
          <w:rFonts w:asciiTheme="majorBidi" w:hAnsiTheme="majorBidi" w:cstheme="majorBidi"/>
        </w:rPr>
        <w:t>Executive  Engineer</w:t>
      </w:r>
      <w:proofErr w:type="gramEnd"/>
      <w:r>
        <w:rPr>
          <w:rFonts w:asciiTheme="majorBidi" w:hAnsiTheme="majorBidi" w:cstheme="majorBidi"/>
        </w:rPr>
        <w:t xml:space="preserve"> (Water</w:t>
      </w:r>
      <w:r w:rsidRPr="00D431C6">
        <w:rPr>
          <w:rFonts w:asciiTheme="majorBidi" w:hAnsiTheme="majorBidi" w:cstheme="majorBidi"/>
        </w:rPr>
        <w:t xml:space="preserve"> )</w:t>
      </w:r>
    </w:p>
    <w:p w:rsidR="006B6315" w:rsidRDefault="006B6315" w:rsidP="006B6315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North Karachi Division</w:t>
      </w:r>
      <w:proofErr w:type="gramStart"/>
      <w:r>
        <w:rPr>
          <w:rFonts w:asciiTheme="majorBidi" w:hAnsiTheme="majorBidi" w:cstheme="majorBidi"/>
        </w:rPr>
        <w:t xml:space="preserve">,  </w:t>
      </w:r>
      <w:r w:rsidRPr="00D431C6">
        <w:rPr>
          <w:rFonts w:asciiTheme="majorBidi" w:hAnsiTheme="majorBidi" w:cstheme="majorBidi"/>
        </w:rPr>
        <w:t>KW</w:t>
      </w:r>
      <w:proofErr w:type="gramEnd"/>
      <w:r w:rsidRPr="00D431C6">
        <w:rPr>
          <w:rFonts w:asciiTheme="majorBidi" w:hAnsiTheme="majorBidi" w:cstheme="majorBidi"/>
        </w:rPr>
        <w:t>&amp;SB</w:t>
      </w:r>
    </w:p>
    <w:p w:rsidR="006B6315" w:rsidRDefault="006B6315" w:rsidP="006B6315">
      <w:pPr>
        <w:spacing w:after="0" w:line="240" w:lineRule="auto"/>
      </w:pPr>
    </w:p>
    <w:p w:rsidR="006B6315" w:rsidRDefault="006B6315" w:rsidP="006B6315">
      <w:pPr>
        <w:spacing w:after="0" w:line="240" w:lineRule="auto"/>
      </w:pPr>
    </w:p>
    <w:p w:rsidR="006B6315" w:rsidRDefault="006B6315" w:rsidP="006B63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6B6315" w:rsidRPr="005316BB" w:rsidRDefault="006B6315" w:rsidP="006B6315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KW&amp;SB</w:t>
            </w:r>
          </w:p>
        </w:tc>
      </w:tr>
      <w:tr w:rsidR="006B6315" w:rsidRPr="000E2483" w:rsidTr="00D00B66">
        <w:trPr>
          <w:gridAfter w:val="1"/>
          <w:wAfter w:w="180" w:type="dxa"/>
        </w:trPr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6B6315" w:rsidRPr="004B66B9" w:rsidRDefault="006B6315" w:rsidP="00D00B66">
            <w:pPr>
              <w:jc w:val="both"/>
            </w:pPr>
            <w:r>
              <w:rPr>
                <w:rFonts w:ascii="Bookman Old Style" w:hAnsi="Bookman Old Style" w:cs="Arial"/>
                <w:b/>
                <w:u w:val="single"/>
              </w:rPr>
              <w:t>EMERGENT REPAIR OF LEAKAGES ON PIPE WATER LINE AND RE-LAYING CLEANING IN PIPE WATER LINE AND REMOVAL OF CONTAMINATION IN PIPE WATER LINE FOR IMPROVEMENT OF WATER SUPPLY AT DIFFERENT SECTORS OF NORTH KARACHI.</w:t>
            </w:r>
          </w:p>
          <w:p w:rsidR="006B6315" w:rsidRDefault="006B6315" w:rsidP="00D00B66">
            <w:pPr>
              <w:jc w:val="both"/>
              <w:rPr>
                <w:rFonts w:ascii="Bookman Old Style" w:hAnsi="Bookman Old Style" w:cs="Arial"/>
                <w:b/>
                <w:u w:val="single"/>
              </w:rPr>
            </w:pPr>
          </w:p>
          <w:p w:rsidR="006B6315" w:rsidRPr="008F5C9D" w:rsidRDefault="006B6315" w:rsidP="00D00B66">
            <w:pPr>
              <w:jc w:val="both"/>
              <w:rPr>
                <w:rFonts w:asciiTheme="majorBidi" w:hAnsiTheme="majorBidi" w:cstheme="majorBidi"/>
                <w:sz w:val="14"/>
                <w:szCs w:val="24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North Karachi Division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The Tender in sealed cover super scribed with the name of the work should be dropped in the Tender Box kept in office of 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Director Design C.O.D Filter Plant near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Masjid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Baitul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Mukaram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Gulshan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-e-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Iqbal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Karachi on </w:t>
            </w: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7</w:t>
            </w: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-01-2017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6B6315" w:rsidRPr="000E2483" w:rsidRDefault="006B6315" w:rsidP="00D00B66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6315" w:rsidRPr="000C1666" w:rsidRDefault="006B6315" w:rsidP="006B6315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7</w:t>
            </w:r>
            <w:r w:rsidRPr="006B6315">
              <w:rPr>
                <w:rFonts w:asciiTheme="majorBidi" w:hAnsiTheme="majorBidi" w:cstheme="majorBidi"/>
                <w:sz w:val="24"/>
                <w:szCs w:val="24"/>
                <w:u w:val="single"/>
              </w:rPr>
              <w:t>-01-2017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at 2.00 PM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Rs.1000/-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per day of delay</w:t>
            </w:r>
          </w:p>
        </w:tc>
      </w:tr>
      <w:tr w:rsidR="006B6315" w:rsidRPr="000E2483" w:rsidTr="00D00B66">
        <w:trPr>
          <w:trHeight w:val="387"/>
        </w:trPr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6B6315" w:rsidRPr="000E2483" w:rsidTr="00D00B66">
        <w:tc>
          <w:tcPr>
            <w:tcW w:w="1008" w:type="dxa"/>
          </w:tcPr>
          <w:p w:rsidR="006B6315" w:rsidRPr="000E2483" w:rsidRDefault="006B6315" w:rsidP="00D00B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6B6315" w:rsidRPr="000E2483" w:rsidRDefault="006B6315" w:rsidP="00D00B6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B6315" w:rsidRPr="000E2483" w:rsidRDefault="006B6315" w:rsidP="006B6315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 w:rsidRPr="005D54DD">
        <w:rPr>
          <w:rFonts w:asciiTheme="majorBidi" w:hAnsiTheme="majorBidi" w:cstheme="majorBidi"/>
          <w:sz w:val="24"/>
          <w:szCs w:val="24"/>
          <w:u w:val="single"/>
        </w:rPr>
        <w:t>10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00/=</w:t>
      </w:r>
    </w:p>
    <w:p w:rsidR="006B6315" w:rsidRPr="008F5C9D" w:rsidRDefault="006B6315" w:rsidP="006B6315">
      <w:pPr>
        <w:rPr>
          <w:rFonts w:asciiTheme="majorBidi" w:hAnsiTheme="majorBidi" w:cstheme="majorBidi"/>
          <w:sz w:val="34"/>
          <w:szCs w:val="44"/>
        </w:rPr>
      </w:pP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6B6315" w:rsidRDefault="006B6315" w:rsidP="006B6315">
      <w:pPr>
        <w:spacing w:after="0" w:line="240" w:lineRule="auto"/>
        <w:rPr>
          <w:rFonts w:asciiTheme="majorBidi" w:hAnsiTheme="majorBidi" w:cstheme="majorBidi"/>
        </w:rPr>
      </w:pPr>
    </w:p>
    <w:p w:rsidR="006B6315" w:rsidRPr="00D431C6" w:rsidRDefault="006B6315" w:rsidP="006B6315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</w:t>
      </w:r>
      <w:proofErr w:type="gramStart"/>
      <w:r>
        <w:rPr>
          <w:rFonts w:asciiTheme="majorBidi" w:hAnsiTheme="majorBidi" w:cstheme="majorBidi"/>
        </w:rPr>
        <w:t>Executive  Engineer</w:t>
      </w:r>
      <w:proofErr w:type="gramEnd"/>
      <w:r>
        <w:rPr>
          <w:rFonts w:asciiTheme="majorBidi" w:hAnsiTheme="majorBidi" w:cstheme="majorBidi"/>
        </w:rPr>
        <w:t xml:space="preserve"> (Water</w:t>
      </w:r>
      <w:r w:rsidRPr="00D431C6">
        <w:rPr>
          <w:rFonts w:asciiTheme="majorBidi" w:hAnsiTheme="majorBidi" w:cstheme="majorBidi"/>
        </w:rPr>
        <w:t xml:space="preserve"> )</w:t>
      </w:r>
    </w:p>
    <w:p w:rsidR="006B6315" w:rsidRDefault="006B6315" w:rsidP="006B6315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North Karachi Division</w:t>
      </w:r>
      <w:proofErr w:type="gramStart"/>
      <w:r>
        <w:rPr>
          <w:rFonts w:asciiTheme="majorBidi" w:hAnsiTheme="majorBidi" w:cstheme="majorBidi"/>
        </w:rPr>
        <w:t xml:space="preserve">,  </w:t>
      </w:r>
      <w:r w:rsidRPr="00D431C6">
        <w:rPr>
          <w:rFonts w:asciiTheme="majorBidi" w:hAnsiTheme="majorBidi" w:cstheme="majorBidi"/>
        </w:rPr>
        <w:t>KW</w:t>
      </w:r>
      <w:proofErr w:type="gramEnd"/>
      <w:r w:rsidRPr="00D431C6">
        <w:rPr>
          <w:rFonts w:asciiTheme="majorBidi" w:hAnsiTheme="majorBidi" w:cstheme="majorBidi"/>
        </w:rPr>
        <w:t>&amp;SB</w:t>
      </w:r>
    </w:p>
    <w:p w:rsidR="00000000" w:rsidRDefault="006B6315"/>
    <w:sectPr w:rsidR="00000000" w:rsidSect="006B6315">
      <w:pgSz w:w="12240" w:h="15840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6315"/>
    <w:rsid w:val="006B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3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Memon</dc:creator>
  <cp:keywords/>
  <dc:description/>
  <cp:lastModifiedBy>Faisal Memon</cp:lastModifiedBy>
  <cp:revision>2</cp:revision>
  <dcterms:created xsi:type="dcterms:W3CDTF">2006-11-30T00:16:00Z</dcterms:created>
  <dcterms:modified xsi:type="dcterms:W3CDTF">2006-11-30T00:20:00Z</dcterms:modified>
</cp:coreProperties>
</file>