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8B7C29"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265B62" w:rsidRPr="000063FC" w:rsidRDefault="00265B62" w:rsidP="00265B62">
                  <w:pPr>
                    <w:rPr>
                      <w:b/>
                      <w:bCs/>
                    </w:rPr>
                  </w:pPr>
                  <w:r>
                    <w:rPr>
                      <w:b/>
                      <w:bCs/>
                    </w:rPr>
                    <w:t>12</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9C3C1B"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3’ SPAN RCC (2 NOS.) RCC SLAB CULVERTS ON ROAD FROM BATHORO- DARO ROAD MILE 1/2 (L/S) TO VILLAGE SHAH NAWAZ LAGHARI ROAD MILE 1/0-1/4+330’</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B4562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9C3C1B">
        <w:rPr>
          <w:rFonts w:asciiTheme="minorBidi" w:hAnsiTheme="minorBidi" w:cstheme="minorBidi"/>
          <w:b/>
          <w:bCs/>
          <w:i/>
          <w:iCs/>
          <w:color w:val="002060"/>
          <w:sz w:val="24"/>
          <w:szCs w:val="24"/>
        </w:rPr>
        <w:t>M&amp;R OF 3’ SPAN RCC (2 NOS.) RCC SLAB CULVERTS ON ROAD FROM BATHORO- DARO ROAD MILE 1/2 (L/S) TO VILLAGE SHAH NAWAZ LAGHARI ROAD MILE 1/0-1/4+330’</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B4562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4562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B45624">
        <w:rPr>
          <w:rFonts w:asciiTheme="minorBidi" w:hAnsiTheme="minorBidi" w:cstheme="minorBidi"/>
          <w:b/>
          <w:bCs/>
          <w:i/>
          <w:iCs/>
          <w:color w:val="002060"/>
          <w:sz w:val="24"/>
          <w:szCs w:val="24"/>
        </w:rPr>
        <w:t>296</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B4562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B45624">
        <w:rPr>
          <w:rFonts w:asciiTheme="minorBidi" w:hAnsiTheme="minorBidi" w:cstheme="minorBidi"/>
          <w:b/>
          <w:bCs/>
          <w:i/>
          <w:iCs/>
          <w:color w:val="002060"/>
          <w:sz w:val="24"/>
          <w:szCs w:val="24"/>
        </w:rPr>
        <w:t>14,800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F21738">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F21738">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F21738">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B45624">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F21738" w:rsidRPr="00F21738">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F21738" w:rsidRDefault="00D329B5" w:rsidP="00F21738">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(k). Time for Completion from written order of commence: - </w:t>
      </w:r>
      <w:r w:rsidR="00F21738">
        <w:rPr>
          <w:rFonts w:asciiTheme="minorBidi" w:hAnsiTheme="minorBidi" w:cstheme="minorBidi"/>
          <w:b/>
          <w:bCs/>
          <w:i/>
          <w:iCs/>
          <w:color w:val="1F497D" w:themeColor="text2"/>
          <w:sz w:val="24"/>
          <w:szCs w:val="24"/>
        </w:rPr>
        <w:t xml:space="preserve">03 Months </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9C3C1B">
        <w:rPr>
          <w:rFonts w:asciiTheme="minorBidi" w:hAnsiTheme="minorBidi" w:cstheme="minorBidi"/>
          <w:b/>
          <w:bCs/>
          <w:caps/>
          <w:color w:val="000000"/>
          <w:sz w:val="20"/>
          <w:szCs w:val="20"/>
        </w:rPr>
        <w:t>M&amp;R of 3’ Span RCC (2 Nos.) RCC Slab Culverts on road from Bathoro- Daro road mile 1/2 (L/S) to village Shah Nawaz Laghari road mile 1/0-1/4+330’</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495</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Coursed rubble masonry including hammer dressing in plinth and foundation (in cement sand mortar) Ratio 1:4.</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26,475.00</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 Cft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131,051</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200</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14,429.25</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 Rft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28,859</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122</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337.00</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Cft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41,114</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8.83</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4,820.20</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CWT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42,562</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400</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Pointing flush on stone work (raised) in cement sand mortar Ratio (1:3) etc.</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1,758.08</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 Sft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7,032</w:t>
            </w:r>
          </w:p>
        </w:tc>
      </w:tr>
      <w:tr w:rsidR="00F21738" w:rsidRPr="00E3323D" w:rsidTr="00D46EAE">
        <w:tc>
          <w:tcPr>
            <w:tcW w:w="720" w:type="dxa"/>
          </w:tcPr>
          <w:p w:rsidR="00F21738" w:rsidRPr="00A455FC" w:rsidRDefault="00F21738" w:rsidP="00F2173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200</w:t>
            </w:r>
          </w:p>
        </w:tc>
        <w:tc>
          <w:tcPr>
            <w:tcW w:w="5016" w:type="dxa"/>
          </w:tcPr>
          <w:p w:rsidR="00F21738" w:rsidRPr="00F21738" w:rsidRDefault="00F21738" w:rsidP="00F21738">
            <w:pPr>
              <w:spacing w:before="40" w:after="40" w:line="240" w:lineRule="auto"/>
              <w:jc w:val="both"/>
              <w:rPr>
                <w:rFonts w:ascii="Arial" w:hAnsi="Arial" w:cs="Arial"/>
                <w:color w:val="000000"/>
                <w:sz w:val="20"/>
                <w:szCs w:val="20"/>
              </w:rPr>
            </w:pPr>
            <w:r w:rsidRPr="00F21738">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3,127.41</w:t>
            </w:r>
          </w:p>
        </w:tc>
        <w:tc>
          <w:tcPr>
            <w:tcW w:w="126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Per % Sft</w:t>
            </w:r>
          </w:p>
        </w:tc>
        <w:tc>
          <w:tcPr>
            <w:tcW w:w="1170" w:type="dxa"/>
          </w:tcPr>
          <w:p w:rsidR="00F21738" w:rsidRPr="00F21738" w:rsidRDefault="00F21738" w:rsidP="00F21738">
            <w:pPr>
              <w:spacing w:before="40" w:after="40" w:line="240" w:lineRule="auto"/>
              <w:jc w:val="center"/>
              <w:rPr>
                <w:rFonts w:ascii="Arial" w:hAnsi="Arial" w:cs="Arial"/>
                <w:color w:val="000000"/>
                <w:sz w:val="20"/>
                <w:szCs w:val="20"/>
              </w:rPr>
            </w:pPr>
            <w:r w:rsidRPr="00F21738">
              <w:rPr>
                <w:rFonts w:ascii="Arial" w:hAnsi="Arial" w:cs="Arial"/>
                <w:color w:val="000000"/>
                <w:sz w:val="20"/>
                <w:szCs w:val="20"/>
              </w:rPr>
              <w:t>6,255</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F21738"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Arial" w:hAnsi="Arial" w:cs="Arial"/>
                <w:b/>
                <w:bCs/>
                <w:color w:val="000000"/>
                <w:sz w:val="20"/>
                <w:szCs w:val="20"/>
              </w:rPr>
              <w:t>256,873</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B45624"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B45624"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B45624"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EDE" w:rsidRDefault="00995EDE" w:rsidP="00C25DF3">
      <w:pPr>
        <w:spacing w:after="0" w:line="240" w:lineRule="auto"/>
      </w:pPr>
      <w:r>
        <w:separator/>
      </w:r>
    </w:p>
  </w:endnote>
  <w:endnote w:type="continuationSeparator" w:id="1">
    <w:p w:rsidR="00995EDE" w:rsidRDefault="00995EDE"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F21738" w:rsidRPr="00F21738">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EDE" w:rsidRDefault="00995EDE" w:rsidP="00C25DF3">
      <w:pPr>
        <w:spacing w:after="0" w:line="240" w:lineRule="auto"/>
      </w:pPr>
      <w:r>
        <w:separator/>
      </w:r>
    </w:p>
  </w:footnote>
  <w:footnote w:type="continuationSeparator" w:id="1">
    <w:p w:rsidR="00995EDE" w:rsidRDefault="00995EDE"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44771"/>
    <w:rsid w:val="00070EEC"/>
    <w:rsid w:val="00077CBC"/>
    <w:rsid w:val="000B7D72"/>
    <w:rsid w:val="00101D02"/>
    <w:rsid w:val="00265B62"/>
    <w:rsid w:val="002A3FAA"/>
    <w:rsid w:val="002B39A6"/>
    <w:rsid w:val="002D24E4"/>
    <w:rsid w:val="002F1F21"/>
    <w:rsid w:val="00380410"/>
    <w:rsid w:val="0047213E"/>
    <w:rsid w:val="004A7EA8"/>
    <w:rsid w:val="004C396E"/>
    <w:rsid w:val="005D1B3C"/>
    <w:rsid w:val="005E008A"/>
    <w:rsid w:val="005E33D6"/>
    <w:rsid w:val="00606C73"/>
    <w:rsid w:val="00635DB7"/>
    <w:rsid w:val="006665B4"/>
    <w:rsid w:val="00677FBA"/>
    <w:rsid w:val="0075411F"/>
    <w:rsid w:val="00785608"/>
    <w:rsid w:val="007A26BB"/>
    <w:rsid w:val="007F1570"/>
    <w:rsid w:val="00812440"/>
    <w:rsid w:val="00813F2E"/>
    <w:rsid w:val="00846F9C"/>
    <w:rsid w:val="00866368"/>
    <w:rsid w:val="00893564"/>
    <w:rsid w:val="008B5DC3"/>
    <w:rsid w:val="008B7C29"/>
    <w:rsid w:val="008F7E97"/>
    <w:rsid w:val="00962033"/>
    <w:rsid w:val="00995EDE"/>
    <w:rsid w:val="009C3C1B"/>
    <w:rsid w:val="009D5D20"/>
    <w:rsid w:val="009F7C64"/>
    <w:rsid w:val="00A0009E"/>
    <w:rsid w:val="00A455FC"/>
    <w:rsid w:val="00A6350A"/>
    <w:rsid w:val="00B41440"/>
    <w:rsid w:val="00B45624"/>
    <w:rsid w:val="00B7027C"/>
    <w:rsid w:val="00B76307"/>
    <w:rsid w:val="00BC5D5F"/>
    <w:rsid w:val="00C25DF3"/>
    <w:rsid w:val="00C31C5A"/>
    <w:rsid w:val="00CA2F86"/>
    <w:rsid w:val="00CD0A24"/>
    <w:rsid w:val="00CD1BDD"/>
    <w:rsid w:val="00D247D3"/>
    <w:rsid w:val="00D329B5"/>
    <w:rsid w:val="00D367AD"/>
    <w:rsid w:val="00E3323D"/>
    <w:rsid w:val="00E43F36"/>
    <w:rsid w:val="00E53099"/>
    <w:rsid w:val="00E9757B"/>
    <w:rsid w:val="00EA2500"/>
    <w:rsid w:val="00EF3ED3"/>
    <w:rsid w:val="00F21738"/>
    <w:rsid w:val="00F63893"/>
    <w:rsid w:val="00F97307"/>
    <w:rsid w:val="00FB5B89"/>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147286039">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4026</Words>
  <Characters>22953</Characters>
  <Application>Microsoft Office Word</Application>
  <DocSecurity>0</DocSecurity>
  <Lines>191</Lines>
  <Paragraphs>53</Paragraphs>
  <ScaleCrop>false</ScaleCrop>
  <Company/>
  <LinksUpToDate>false</LinksUpToDate>
  <CharactersWithSpaces>26926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6</cp:revision>
  <cp:lastPrinted>2016-12-21T02:31:00Z</cp:lastPrinted>
  <dcterms:created xsi:type="dcterms:W3CDTF">2016-12-21T01:43:00Z</dcterms:created>
  <dcterms:modified xsi:type="dcterms:W3CDTF">2016-12-21T04:27:00Z</dcterms:modified>
</cp:coreProperties>
</file>