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IB.30 Employer’s Right to Accept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any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Bid :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Appendix-B to Bid :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Appendix-C to Bid :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Supervisory Staff and Labour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i.</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Any addendum thus issued shall be part of the bidding documents pursuant to sub¬clause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And other pertinent information such as mobilization programme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deficiency(ies)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F06D88">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895745" w:rsidRDefault="00895745" w:rsidP="00495826">
            <w:pPr>
              <w:rPr>
                <w:rFonts w:ascii="Berlin Sans FB Demi" w:hAnsi="Berlin Sans FB Demi"/>
                <w:b/>
                <w:sz w:val="24"/>
                <w:szCs w:val="24"/>
              </w:rPr>
            </w:pPr>
            <w:r w:rsidRPr="00895745">
              <w:rPr>
                <w:rFonts w:ascii="Berlin Sans FB Demi" w:hAnsi="Berlin Sans FB Demi"/>
                <w:b/>
                <w:sz w:val="26"/>
                <w:szCs w:val="26"/>
                <w:u w:val="single"/>
              </w:rPr>
              <w:t>W/R OF ROAD FROM CHUHAR JAMALI SHAH BANDAR ROAD TO VILLAGE HAJI ALLAH DINO MANDRO ROAD MILE 3/4-6/6</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07317F" w:rsidP="00895745">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sidR="00895745">
              <w:rPr>
                <w:rFonts w:ascii="Book Antiqua" w:hAnsi="Book Antiqua" w:cs="Times New Roman"/>
                <w:b/>
                <w:bCs/>
                <w:sz w:val="24"/>
                <w:szCs w:val="24"/>
              </w:rPr>
              <w:t>2413</w:t>
            </w:r>
            <w:r w:rsidRPr="00495826">
              <w:rPr>
                <w:rFonts w:ascii="Book Antiqua" w:hAnsi="Book Antiqua" w:cs="Times New Roman"/>
                <w:b/>
                <w:bCs/>
                <w:sz w:val="24"/>
                <w:szCs w:val="24"/>
              </w:rPr>
              <w:t>/201</w:t>
            </w:r>
            <w:r w:rsidR="00895745">
              <w:rPr>
                <w:rFonts w:ascii="Book Antiqua" w:hAnsi="Book Antiqua" w:cs="Times New Roman"/>
                <w:b/>
                <w:bCs/>
                <w:sz w:val="24"/>
                <w:szCs w:val="24"/>
              </w:rPr>
              <w:t>6</w:t>
            </w:r>
            <w:r w:rsidRPr="00495826">
              <w:rPr>
                <w:rFonts w:ascii="Book Antiqua" w:hAnsi="Book Antiqua" w:cs="Times New Roman"/>
                <w:b/>
                <w:bCs/>
                <w:sz w:val="24"/>
                <w:szCs w:val="24"/>
              </w:rPr>
              <w:t>-1</w:t>
            </w:r>
            <w:r w:rsidR="00895745">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89574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95745">
              <w:rPr>
                <w:rFonts w:ascii="Book Antiqua" w:hAnsi="Book Antiqua" w:cs="Times New Roman"/>
                <w:b/>
                <w:bCs/>
                <w:sz w:val="24"/>
                <w:szCs w:val="24"/>
              </w:rPr>
              <w:t xml:space="preserve"> 139.940</w:t>
            </w:r>
            <w:r w:rsidR="0086167C">
              <w:rPr>
                <w:rFonts w:ascii="Book Antiqua" w:hAnsi="Book Antiqua" w:cs="Times New Roman"/>
                <w:sz w:val="24"/>
                <w:szCs w:val="24"/>
              </w:rPr>
              <w:t xml:space="preserve"> (M) </w:t>
            </w:r>
            <w:r>
              <w:rPr>
                <w:rFonts w:ascii="Book Antiqua" w:hAnsi="Book Antiqua" w:cs="Times New Roman"/>
                <w:sz w:val="24"/>
                <w:szCs w:val="24"/>
              </w:rPr>
              <w:t xml:space="preserve">GoS funded </w:t>
            </w:r>
            <w:r w:rsidR="00CB1EFC">
              <w:rPr>
                <w:rFonts w:ascii="Book Antiqua" w:hAnsi="Book Antiqua" w:cs="Times New Roman"/>
                <w:sz w:val="24"/>
                <w:szCs w:val="24"/>
              </w:rPr>
              <w:t>through</w:t>
            </w:r>
            <w:r>
              <w:rPr>
                <w:rFonts w:ascii="Book Antiqua" w:hAnsi="Book Antiqua" w:cs="Times New Roman"/>
                <w:sz w:val="24"/>
                <w:szCs w:val="24"/>
              </w:rPr>
              <w:t xml:space="preserve"> 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89574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95745">
              <w:rPr>
                <w:rFonts w:ascii="Book Antiqua" w:hAnsi="Book Antiqua" w:cs="Times New Roman"/>
                <w:b/>
                <w:bCs/>
                <w:sz w:val="24"/>
                <w:szCs w:val="24"/>
              </w:rPr>
              <w:t>68.400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895745">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95745">
              <w:rPr>
                <w:rFonts w:ascii="Book Antiqua" w:hAnsi="Book Antiqua" w:cs="Times New Roman"/>
                <w:b/>
                <w:bCs/>
                <w:sz w:val="24"/>
                <w:szCs w:val="24"/>
              </w:rPr>
              <w:t>10.00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Pr="00FA2A18" w:rsidRDefault="00BC451D"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Hyderabad Shahbaz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2474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24741C">
              <w:rPr>
                <w:rFonts w:ascii="Book Antiqua" w:hAnsi="Book Antiqua" w:cs="Times New Roman"/>
                <w:b/>
                <w:bCs/>
                <w:sz w:val="24"/>
                <w:szCs w:val="24"/>
              </w:rPr>
              <w:t>25</w:t>
            </w:r>
            <w:r w:rsidR="002441EC">
              <w:rPr>
                <w:rFonts w:ascii="Book Antiqua" w:hAnsi="Book Antiqua" w:cs="Times New Roman"/>
                <w:b/>
                <w:bCs/>
                <w:sz w:val="24"/>
                <w:szCs w:val="24"/>
              </w:rPr>
              <w:t>/0</w:t>
            </w:r>
            <w:r w:rsidR="00895745">
              <w:rPr>
                <w:rFonts w:ascii="Book Antiqua" w:hAnsi="Book Antiqua" w:cs="Times New Roman"/>
                <w:b/>
                <w:bCs/>
                <w:sz w:val="24"/>
                <w:szCs w:val="24"/>
              </w:rPr>
              <w:t>8</w:t>
            </w:r>
            <w:r w:rsidR="002441EC">
              <w:rPr>
                <w:rFonts w:ascii="Book Antiqua" w:hAnsi="Book Antiqua" w:cs="Times New Roman"/>
                <w:b/>
                <w:bCs/>
                <w:sz w:val="24"/>
                <w:szCs w:val="24"/>
              </w:rPr>
              <w:t>/2016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Executive Engineer, Provincial Coastal Highway Division, Hyderabad Shahbaz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895745">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895745">
              <w:rPr>
                <w:rFonts w:ascii="Book Antiqua" w:hAnsi="Book Antiqua" w:cs="Times New Roman"/>
                <w:b/>
                <w:bCs/>
                <w:sz w:val="24"/>
                <w:szCs w:val="24"/>
              </w:rPr>
              <w:t>794</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895745">
              <w:rPr>
                <w:rFonts w:ascii="Book Antiqua" w:hAnsi="Book Antiqua" w:cs="Times New Roman"/>
                <w:b/>
                <w:bCs/>
                <w:sz w:val="24"/>
                <w:szCs w:val="24"/>
              </w:rPr>
              <w:t>03</w:t>
            </w:r>
            <w:r w:rsidR="00F06D88">
              <w:rPr>
                <w:rFonts w:ascii="Book Antiqua" w:hAnsi="Book Antiqua" w:cs="Times New Roman"/>
                <w:b/>
                <w:bCs/>
                <w:sz w:val="24"/>
                <w:szCs w:val="24"/>
              </w:rPr>
              <w:t>/0</w:t>
            </w:r>
            <w:r w:rsidR="00895745">
              <w:rPr>
                <w:rFonts w:ascii="Book Antiqua" w:hAnsi="Book Antiqua" w:cs="Times New Roman"/>
                <w:b/>
                <w:bCs/>
                <w:sz w:val="24"/>
                <w:szCs w:val="24"/>
              </w:rPr>
              <w:t>8</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24741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24741C">
              <w:rPr>
                <w:rFonts w:ascii="Book Antiqua" w:hAnsi="Book Antiqua" w:cs="Times New Roman"/>
                <w:b/>
                <w:bCs/>
                <w:sz w:val="24"/>
                <w:szCs w:val="24"/>
              </w:rPr>
              <w:t>01</w:t>
            </w:r>
            <w:r w:rsidRPr="00046141">
              <w:rPr>
                <w:rFonts w:ascii="Book Antiqua" w:hAnsi="Book Antiqua" w:cs="Times New Roman"/>
                <w:b/>
                <w:bCs/>
                <w:sz w:val="24"/>
                <w:szCs w:val="24"/>
              </w:rPr>
              <w:t>-0</w:t>
            </w:r>
            <w:r w:rsidR="0024741C">
              <w:rPr>
                <w:rFonts w:ascii="Book Antiqua" w:hAnsi="Book Antiqua" w:cs="Times New Roman"/>
                <w:b/>
                <w:bCs/>
                <w:sz w:val="24"/>
                <w:szCs w:val="24"/>
              </w:rPr>
              <w:t>9</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Executive Engineer, Provincial Coastal Highway Division, Hyderabad Shahbaz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24741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24741C">
              <w:rPr>
                <w:rFonts w:ascii="Book Antiqua" w:hAnsi="Book Antiqua" w:cs="Times New Roman"/>
                <w:b/>
                <w:bCs/>
                <w:sz w:val="24"/>
                <w:szCs w:val="24"/>
              </w:rPr>
              <w:t>01</w:t>
            </w:r>
            <w:r w:rsidRPr="00046141">
              <w:rPr>
                <w:rFonts w:ascii="Book Antiqua" w:hAnsi="Book Antiqua" w:cs="Times New Roman"/>
                <w:b/>
                <w:bCs/>
                <w:sz w:val="24"/>
                <w:szCs w:val="24"/>
              </w:rPr>
              <w:t>-0</w:t>
            </w:r>
            <w:r w:rsidR="0024741C">
              <w:rPr>
                <w:rFonts w:ascii="Book Antiqua" w:hAnsi="Book Antiqua" w:cs="Times New Roman"/>
                <w:b/>
                <w:bCs/>
                <w:sz w:val="24"/>
                <w:szCs w:val="24"/>
              </w:rPr>
              <w:t>9</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Prior to the detailed evaluation of bids the procuring agency will determine whether the bidder fulfills all codal requirement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275BA6">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30</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895745" w:rsidRDefault="006A5343" w:rsidP="00895745">
      <w:pPr>
        <w:spacing w:after="0" w:line="240" w:lineRule="auto"/>
        <w:rPr>
          <w:rFonts w:ascii="Berlin Sans FB Demi" w:hAnsi="Berlin Sans FB Demi"/>
          <w:b/>
          <w:sz w:val="26"/>
          <w:szCs w:val="26"/>
          <w:u w:val="single"/>
        </w:rPr>
      </w:pPr>
      <w:r w:rsidRPr="000E02A2">
        <w:rPr>
          <w:rFonts w:ascii="Times New Roman" w:hAnsi="Times New Roman" w:cs="Times New Roman"/>
        </w:rPr>
        <w:t>Bid Reference No.</w:t>
      </w:r>
      <w:r>
        <w:rPr>
          <w:rFonts w:ascii="Times New Roman" w:hAnsi="Times New Roman" w:cs="Times New Roman"/>
        </w:rPr>
        <w:t xml:space="preserve"> </w:t>
      </w:r>
      <w:r w:rsidR="00895745" w:rsidRPr="00895745">
        <w:rPr>
          <w:rFonts w:ascii="Berlin Sans FB Demi" w:hAnsi="Berlin Sans FB Demi"/>
          <w:b/>
          <w:sz w:val="26"/>
          <w:szCs w:val="26"/>
          <w:u w:val="single"/>
        </w:rPr>
        <w:t xml:space="preserve">W/R OF ROAD FROM CHUHAR JAMALI SHAH BANDAR ROAD TO </w:t>
      </w:r>
    </w:p>
    <w:p w:rsidR="00895745" w:rsidRPr="00895745" w:rsidRDefault="00895745" w:rsidP="00895745">
      <w:pPr>
        <w:spacing w:after="0" w:line="240" w:lineRule="auto"/>
        <w:rPr>
          <w:rFonts w:ascii="Berlin Sans FB Demi" w:hAnsi="Berlin Sans FB Demi"/>
          <w:b/>
          <w:sz w:val="28"/>
          <w:szCs w:val="26"/>
        </w:rPr>
      </w:pPr>
      <w:r w:rsidRPr="00895745">
        <w:rPr>
          <w:rFonts w:ascii="Berlin Sans FB Demi" w:hAnsi="Berlin Sans FB Demi"/>
          <w:b/>
          <w:sz w:val="26"/>
          <w:szCs w:val="26"/>
        </w:rPr>
        <w:tab/>
      </w:r>
      <w:r w:rsidRPr="00895745">
        <w:rPr>
          <w:rFonts w:ascii="Berlin Sans FB Demi" w:hAnsi="Berlin Sans FB Demi"/>
          <w:b/>
          <w:sz w:val="26"/>
          <w:szCs w:val="26"/>
        </w:rPr>
        <w:tab/>
      </w:r>
      <w:r>
        <w:rPr>
          <w:rFonts w:ascii="Berlin Sans FB Demi" w:hAnsi="Berlin Sans FB Demi"/>
          <w:b/>
          <w:sz w:val="26"/>
          <w:szCs w:val="26"/>
        </w:rPr>
        <w:t xml:space="preserve">     </w:t>
      </w:r>
      <w:r w:rsidRPr="00895745">
        <w:rPr>
          <w:rFonts w:ascii="Berlin Sans FB Demi" w:hAnsi="Berlin Sans FB Demi"/>
          <w:b/>
          <w:sz w:val="26"/>
          <w:szCs w:val="26"/>
          <w:u w:val="single"/>
        </w:rPr>
        <w:t>VILLAGE HAJI ALLAH DINO MANDRO ROAD MILE 3/4-6/6</w:t>
      </w:r>
    </w:p>
    <w:p w:rsidR="006A5343" w:rsidRPr="000E02A2" w:rsidRDefault="006A5343" w:rsidP="00895745">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lastRenderedPageBreak/>
        <w:t>in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A446F5">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A446F5">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Furnishing Programme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FB3231"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E16633" w:rsidP="006A5343">
      <w:pPr>
        <w:spacing w:after="0" w:line="240" w:lineRule="auto"/>
        <w:rPr>
          <w:rFonts w:ascii="Times New Roman" w:hAnsi="Times New Roman" w:cs="Times New Roman"/>
        </w:rPr>
      </w:pPr>
      <w:r w:rsidRPr="00E16633">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E16633" w:rsidP="006A5343">
      <w:pPr>
        <w:spacing w:after="0" w:line="240" w:lineRule="auto"/>
        <w:ind w:firstLine="270"/>
        <w:rPr>
          <w:rFonts w:ascii="Times New Roman" w:hAnsi="Times New Roman" w:cs="Times New Roman"/>
          <w:b/>
        </w:rPr>
      </w:pPr>
      <w:r w:rsidRPr="00E16633">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Nos</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M.Ton</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(i)</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General directions and description of work and materials are not necessarily repeated nor summarised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E16633"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E1663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E1663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E16633">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E1663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Labour</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E16633"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Labour</w:t>
      </w:r>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Labourer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E16633"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E16633"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r w:rsidR="006A5343" w:rsidRPr="002946A4">
        <w:rPr>
          <w:rFonts w:ascii="Times New Roman" w:hAnsi="Times New Roman" w:cs="Times New Roman"/>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Gelignite (Noble Special Gelatine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E1663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E16633"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Up-to and including 1 Cu.M.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E1663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E16633">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 Cu.M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E1663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Labour</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Bidder's estimate of the value of work which would be executed by him during each of the periods stated below, based on his Programme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Ist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CONTRACTORS.</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bound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(hereinafter called the 'Procuring Agency') in the sum stated above for the payment of which sum well and truly to be made, we bind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r w:rsidRPr="00AD20C0">
        <w:rPr>
          <w:rStyle w:val="MSGENFONTSTYLENAMETEMPLATEROLEMSGENFONTSTYLENAMEBYROLETEXT"/>
          <w:rFonts w:ascii="Times New Roman" w:hAnsi="Times New Roman"/>
          <w:color w:val="000000"/>
          <w:sz w:val="23"/>
          <w:szCs w:val="23"/>
        </w:rPr>
        <w:t>for</w:t>
      </w:r>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of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of Acceptance No.</w:t>
      </w:r>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__________________________________</w:t>
      </w:r>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the </w:t>
      </w:r>
      <w:r>
        <w:rPr>
          <w:rStyle w:val="MSGENFONTSTYLENAMETEMPLATEROLEMSGENFONTSTYLENAMEBYROLETEXT"/>
          <w:rFonts w:ascii="Times New Roman" w:hAnsi="Times New Roman"/>
          <w:color w:val="000000"/>
          <w:sz w:val="23"/>
          <w:szCs w:val="23"/>
        </w:rPr>
        <w:t xml:space="preserve"> ________________________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(hereafter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viz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should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NOW this Agreement witnesseth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The following documents after incorporating addenda, if any, except those parts relating to Instructions to bidders shall be deemed to form and be read and construed as part of this Agreement, viz:</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Bank Guarantee No.</w:t>
      </w:r>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which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(hereinafter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r>
        <w:rPr>
          <w:rStyle w:val="MSGENFONTSTYLENAMETEMPLATEROLEMSGENFONTSTYLENAMEBYROLETEXT"/>
          <w:rFonts w:ascii="Times New Roman" w:hAnsi="Times New Roman"/>
          <w:b/>
          <w:color w:val="000000"/>
          <w:sz w:val="23"/>
          <w:szCs w:val="23"/>
        </w:rPr>
        <w:lastRenderedPageBreak/>
        <w:t>INDENTURE FOR SECURED ADVANCES.</w:t>
      </w:r>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detailed in Part II of Running Account Bill (B). the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contained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follow :-</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E1663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Singed,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E1663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275BA6" w:rsidRDefault="00275BA6" w:rsidP="006A5343">
                  <w:pPr>
                    <w:spacing w:after="0" w:line="240" w:lineRule="auto"/>
                  </w:pPr>
                  <w:r>
                    <w:t>1</w:t>
                  </w:r>
                  <w:r w:rsidRPr="00F132E1">
                    <w:rPr>
                      <w:vertAlign w:val="superscript"/>
                    </w:rPr>
                    <w:t>st</w:t>
                  </w:r>
                  <w:r>
                    <w:t xml:space="preserve"> Witness</w:t>
                  </w:r>
                </w:p>
                <w:p w:rsidR="00275BA6" w:rsidRDefault="00275BA6"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275BA6" w:rsidRPr="00F132E1" w:rsidRDefault="00275BA6"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FB3231" w:rsidRDefault="00FB3231"/>
    <w:p w:rsidR="00FB3231" w:rsidRDefault="00FB3231"/>
    <w:p w:rsidR="00D636FA" w:rsidRDefault="00D636FA" w:rsidP="00D636FA">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D636FA" w:rsidSect="00CA40E1">
          <w:pgSz w:w="12240" w:h="15840"/>
          <w:pgMar w:top="1440" w:right="1440" w:bottom="1440" w:left="1440" w:header="720" w:footer="720" w:gutter="0"/>
          <w:cols w:space="720"/>
          <w:docGrid w:linePitch="360"/>
        </w:sectPr>
      </w:pPr>
    </w:p>
    <w:p w:rsidR="00D636FA" w:rsidRDefault="00D636FA" w:rsidP="00D636FA">
      <w:pPr>
        <w:widowControl w:val="0"/>
        <w:autoSpaceDE w:val="0"/>
        <w:autoSpaceDN w:val="0"/>
        <w:adjustRightInd w:val="0"/>
        <w:spacing w:after="0" w:line="240" w:lineRule="auto"/>
        <w:ind w:left="6555" w:right="-20"/>
        <w:rPr>
          <w:rFonts w:ascii="Times New Roman" w:hAnsi="Times New Roman" w:cs="Times New Roman"/>
          <w:sz w:val="24"/>
          <w:szCs w:val="24"/>
        </w:rPr>
      </w:pPr>
      <w:r>
        <w:rPr>
          <w:rFonts w:ascii="Times New Roman" w:hAnsi="Times New Roman" w:cs="Times New Roman"/>
          <w:b/>
          <w:bCs/>
          <w:w w:val="99"/>
          <w:sz w:val="24"/>
          <w:szCs w:val="24"/>
        </w:rPr>
        <w:lastRenderedPageBreak/>
        <w:t>SC</w:t>
      </w:r>
      <w:r>
        <w:rPr>
          <w:rFonts w:ascii="Times New Roman" w:hAnsi="Times New Roman" w:cs="Times New Roman"/>
          <w:b/>
          <w:bCs/>
          <w:sz w:val="24"/>
          <w:szCs w:val="24"/>
        </w:rPr>
        <w:t>H</w:t>
      </w:r>
      <w:r>
        <w:rPr>
          <w:rFonts w:ascii="Times New Roman" w:hAnsi="Times New Roman" w:cs="Times New Roman"/>
          <w:b/>
          <w:bCs/>
          <w:spacing w:val="1"/>
          <w:sz w:val="24"/>
          <w:szCs w:val="24"/>
        </w:rPr>
        <w:t>E</w:t>
      </w:r>
      <w:r>
        <w:rPr>
          <w:rFonts w:ascii="Times New Roman" w:hAnsi="Times New Roman" w:cs="Times New Roman"/>
          <w:b/>
          <w:bCs/>
          <w:w w:val="99"/>
          <w:sz w:val="24"/>
          <w:szCs w:val="24"/>
        </w:rPr>
        <w:t>DU</w:t>
      </w:r>
      <w:r>
        <w:rPr>
          <w:rFonts w:ascii="Times New Roman" w:hAnsi="Times New Roman" w:cs="Times New Roman"/>
          <w:b/>
          <w:bCs/>
          <w:sz w:val="24"/>
          <w:szCs w:val="24"/>
        </w:rPr>
        <w:t>LE</w:t>
      </w:r>
      <w:r>
        <w:rPr>
          <w:rFonts w:ascii="Times New Roman" w:hAnsi="Times New Roman" w:cs="Times New Roman"/>
          <w:spacing w:val="1"/>
          <w:sz w:val="24"/>
          <w:szCs w:val="24"/>
        </w:rPr>
        <w:t xml:space="preserve"> </w:t>
      </w:r>
      <w:r>
        <w:rPr>
          <w:rFonts w:ascii="Times New Roman" w:hAnsi="Times New Roman" w:cs="Times New Roman"/>
          <w:b/>
          <w:bCs/>
          <w:w w:val="99"/>
          <w:sz w:val="24"/>
          <w:szCs w:val="24"/>
        </w:rPr>
        <w:t>-</w:t>
      </w:r>
      <w:r>
        <w:rPr>
          <w:rFonts w:ascii="Times New Roman" w:hAnsi="Times New Roman" w:cs="Times New Roman"/>
          <w:sz w:val="24"/>
          <w:szCs w:val="24"/>
        </w:rPr>
        <w:t xml:space="preserve"> </w:t>
      </w:r>
      <w:r>
        <w:rPr>
          <w:rFonts w:ascii="Times New Roman" w:hAnsi="Times New Roman" w:cs="Times New Roman"/>
          <w:b/>
          <w:bCs/>
          <w:w w:val="99"/>
          <w:sz w:val="24"/>
          <w:szCs w:val="24"/>
        </w:rPr>
        <w:t>A</w:t>
      </w:r>
      <w:r>
        <w:rPr>
          <w:rFonts w:ascii="Times New Roman" w:hAnsi="Times New Roman" w:cs="Times New Roman"/>
          <w:sz w:val="24"/>
          <w:szCs w:val="24"/>
        </w:rPr>
        <w:t xml:space="preserve"> </w:t>
      </w:r>
      <w:r>
        <w:rPr>
          <w:rFonts w:ascii="Times New Roman" w:hAnsi="Times New Roman" w:cs="Times New Roman"/>
          <w:b/>
          <w:bCs/>
          <w:sz w:val="24"/>
          <w:szCs w:val="24"/>
        </w:rPr>
        <w:t>TO</w:t>
      </w:r>
      <w:r>
        <w:rPr>
          <w:rFonts w:ascii="Times New Roman" w:hAnsi="Times New Roman" w:cs="Times New Roman"/>
          <w:sz w:val="24"/>
          <w:szCs w:val="24"/>
        </w:rPr>
        <w:t xml:space="preserve"> </w:t>
      </w:r>
      <w:r>
        <w:rPr>
          <w:rFonts w:ascii="Times New Roman" w:hAnsi="Times New Roman" w:cs="Times New Roman"/>
          <w:b/>
          <w:bCs/>
          <w:sz w:val="24"/>
          <w:szCs w:val="24"/>
        </w:rPr>
        <w:t>B</w:t>
      </w:r>
      <w:r>
        <w:rPr>
          <w:rFonts w:ascii="Times New Roman" w:hAnsi="Times New Roman" w:cs="Times New Roman"/>
          <w:b/>
          <w:bCs/>
          <w:w w:val="99"/>
          <w:sz w:val="24"/>
          <w:szCs w:val="24"/>
        </w:rPr>
        <w:t>ID</w:t>
      </w:r>
    </w:p>
    <w:p w:rsidR="00D636FA" w:rsidRDefault="00D636FA" w:rsidP="00D636FA">
      <w:pPr>
        <w:widowControl w:val="0"/>
        <w:autoSpaceDE w:val="0"/>
        <w:autoSpaceDN w:val="0"/>
        <w:adjustRightInd w:val="0"/>
        <w:spacing w:after="0" w:line="240" w:lineRule="exact"/>
        <w:rPr>
          <w:rFonts w:ascii="Times New Roman" w:hAnsi="Times New Roman" w:cs="Times New Roman"/>
          <w:sz w:val="24"/>
          <w:szCs w:val="24"/>
        </w:rPr>
      </w:pPr>
    </w:p>
    <w:p w:rsidR="00D636FA" w:rsidRDefault="00D636FA" w:rsidP="00D636FA">
      <w:pPr>
        <w:jc w:val="center"/>
        <w:rPr>
          <w:rFonts w:ascii="Calibri" w:hAnsi="Calibri" w:cs="Times New Roman"/>
          <w:b/>
          <w:bCs/>
          <w:sz w:val="26"/>
          <w:szCs w:val="26"/>
        </w:rPr>
      </w:pPr>
      <w:r>
        <w:rPr>
          <w:rFonts w:cs="Times New Roman"/>
          <w:b/>
          <w:bCs/>
          <w:sz w:val="26"/>
          <w:szCs w:val="26"/>
        </w:rPr>
        <w:t xml:space="preserve">BILL OF QUANTITIES </w:t>
      </w:r>
    </w:p>
    <w:p w:rsidR="00D636FA" w:rsidRPr="00895745" w:rsidRDefault="00895745" w:rsidP="00895745">
      <w:pPr>
        <w:widowControl w:val="0"/>
        <w:autoSpaceDE w:val="0"/>
        <w:autoSpaceDN w:val="0"/>
        <w:adjustRightInd w:val="0"/>
        <w:spacing w:after="0" w:line="240" w:lineRule="auto"/>
        <w:ind w:left="720"/>
        <w:jc w:val="center"/>
        <w:rPr>
          <w:rFonts w:ascii="Berlin Sans FB Demi" w:hAnsi="Berlin Sans FB Demi" w:cs="Times New Roman"/>
          <w:sz w:val="28"/>
          <w:szCs w:val="28"/>
        </w:rPr>
      </w:pPr>
      <w:r w:rsidRPr="00895745">
        <w:rPr>
          <w:rFonts w:ascii="Berlin Sans FB Demi" w:hAnsi="Berlin Sans FB Demi"/>
          <w:b/>
          <w:sz w:val="30"/>
          <w:szCs w:val="30"/>
          <w:u w:val="single"/>
        </w:rPr>
        <w:t>W/R OF ROAD FROM CHUHAR JAMALI SHAH BANDAR ROAD TO VILLAGE HAJI ALLAH DINO MANDRO ROAD MILE 3/4-6/6</w:t>
      </w:r>
    </w:p>
    <w:p w:rsidR="00D636FA" w:rsidRDefault="00D636FA" w:rsidP="00895745">
      <w:pPr>
        <w:spacing w:after="0"/>
        <w:rPr>
          <w:rFonts w:ascii="Times New Roman" w:hAnsi="Times New Roman" w:cs="Times New Roman"/>
          <w:b/>
          <w:sz w:val="28"/>
        </w:rPr>
      </w:pPr>
    </w:p>
    <w:p w:rsidR="00895745" w:rsidRPr="00C46D59" w:rsidRDefault="00895745" w:rsidP="00895745">
      <w:pPr>
        <w:spacing w:after="0"/>
        <w:jc w:val="center"/>
        <w:rPr>
          <w:rFonts w:ascii="Times New Roman" w:hAnsi="Times New Roman" w:cs="Times New Roman"/>
          <w:b/>
          <w:sz w:val="32"/>
          <w:u w:val="single"/>
        </w:rPr>
      </w:pPr>
      <w:r w:rsidRPr="00C46D59">
        <w:rPr>
          <w:rFonts w:ascii="Times New Roman" w:hAnsi="Times New Roman" w:cs="Times New Roman"/>
          <w:b/>
          <w:sz w:val="32"/>
          <w:u w:val="single"/>
        </w:rPr>
        <w:t>SUMMARY</w:t>
      </w:r>
    </w:p>
    <w:p w:rsidR="00895745" w:rsidRPr="007C6246" w:rsidRDefault="00895745" w:rsidP="00895745">
      <w:pPr>
        <w:spacing w:after="0"/>
        <w:rPr>
          <w:rFonts w:ascii="Times New Roman" w:hAnsi="Times New Roman" w:cs="Times New Roman"/>
          <w:b/>
          <w:sz w:val="32"/>
        </w:rPr>
      </w:pPr>
    </w:p>
    <w:p w:rsidR="00895745" w:rsidRPr="007C6246" w:rsidRDefault="00895745" w:rsidP="00895745">
      <w:pPr>
        <w:spacing w:after="0"/>
        <w:rPr>
          <w:rFonts w:ascii="Times New Roman" w:hAnsi="Times New Roman" w:cs="Times New Roman"/>
          <w:sz w:val="26"/>
        </w:rPr>
      </w:pPr>
      <w:r w:rsidRPr="007C6246">
        <w:rPr>
          <w:rFonts w:ascii="Times New Roman" w:hAnsi="Times New Roman" w:cs="Times New Roman"/>
          <w:b/>
          <w:sz w:val="26"/>
        </w:rPr>
        <w:t>Bill No. 01.</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Road Work</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Rs. _________________</w:t>
      </w:r>
    </w:p>
    <w:p w:rsidR="00895745" w:rsidRDefault="00895745" w:rsidP="00895745">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895745" w:rsidRDefault="00895745" w:rsidP="00895745">
      <w:pPr>
        <w:spacing w:after="0"/>
        <w:rPr>
          <w:rFonts w:ascii="Times New Roman" w:hAnsi="Times New Roman" w:cs="Times New Roman"/>
          <w:sz w:val="24"/>
        </w:rPr>
      </w:pP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4"/>
        </w:rPr>
        <w:t>Premium ____________ %</w:t>
      </w:r>
      <w:r w:rsidRPr="00CE2438">
        <w:rPr>
          <w:rFonts w:ascii="Times New Roman" w:hAnsi="Times New Roman" w:cs="Times New Roman"/>
          <w:sz w:val="24"/>
        </w:rPr>
        <w:tab/>
        <w:t>above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r>
        <w:rPr>
          <w:rFonts w:ascii="Times New Roman" w:hAnsi="Times New Roman" w:cs="Times New Roman"/>
          <w:b/>
          <w:sz w:val="24"/>
        </w:rPr>
        <w:tab/>
      </w:r>
      <w:r>
        <w:rPr>
          <w:rFonts w:ascii="Times New Roman" w:hAnsi="Times New Roman" w:cs="Times New Roman"/>
          <w:b/>
          <w:sz w:val="24"/>
        </w:rPr>
        <w:tab/>
        <w:t>Rs:</w:t>
      </w:r>
    </w:p>
    <w:p w:rsidR="00895745" w:rsidRPr="00CE2438" w:rsidRDefault="00895745" w:rsidP="0089574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CE2438" w:rsidRDefault="00895745" w:rsidP="00895745">
      <w:pPr>
        <w:spacing w:after="0"/>
        <w:rPr>
          <w:rFonts w:ascii="Times New Roman" w:hAnsi="Times New Roman" w:cs="Times New Roman"/>
          <w:sz w:val="26"/>
        </w:rPr>
      </w:pPr>
      <w:r w:rsidRPr="007C6246">
        <w:rPr>
          <w:rFonts w:ascii="Times New Roman" w:hAnsi="Times New Roman" w:cs="Times New Roman"/>
          <w:b/>
          <w:sz w:val="26"/>
        </w:rPr>
        <w:t>Bill No. 02.</w:t>
      </w:r>
      <w:r w:rsidRPr="007C6246">
        <w:rPr>
          <w:rFonts w:ascii="Times New Roman" w:hAnsi="Times New Roman" w:cs="Times New Roman"/>
          <w:b/>
          <w:sz w:val="26"/>
        </w:rPr>
        <w:tab/>
      </w:r>
      <w:r w:rsidRPr="007C6246">
        <w:rPr>
          <w:rFonts w:ascii="Times New Roman" w:hAnsi="Times New Roman" w:cs="Times New Roman"/>
          <w:b/>
          <w:sz w:val="26"/>
        </w:rPr>
        <w:tab/>
      </w:r>
      <w:r>
        <w:rPr>
          <w:rFonts w:ascii="Times New Roman" w:hAnsi="Times New Roman" w:cs="Times New Roman"/>
          <w:sz w:val="26"/>
        </w:rPr>
        <w:t xml:space="preserve">Culverts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t>Rs.___________________</w:t>
      </w:r>
    </w:p>
    <w:p w:rsidR="00895745" w:rsidRDefault="00895745" w:rsidP="00895745">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895745" w:rsidRDefault="00895745" w:rsidP="00895745">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t>above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895745" w:rsidRPr="00CE2438" w:rsidRDefault="00895745" w:rsidP="0089574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7C6246" w:rsidRDefault="00895745" w:rsidP="00895745">
      <w:pPr>
        <w:spacing w:after="0"/>
        <w:rPr>
          <w:rFonts w:ascii="Times New Roman" w:hAnsi="Times New Roman" w:cs="Times New Roman"/>
          <w:b/>
          <w:sz w:val="26"/>
        </w:rPr>
      </w:pPr>
      <w:r w:rsidRPr="007C6246">
        <w:rPr>
          <w:rFonts w:ascii="Times New Roman" w:hAnsi="Times New Roman" w:cs="Times New Roman"/>
          <w:b/>
          <w:sz w:val="26"/>
        </w:rPr>
        <w:tab/>
      </w:r>
      <w:r w:rsidRPr="007C6246">
        <w:rPr>
          <w:rFonts w:ascii="Times New Roman" w:hAnsi="Times New Roman" w:cs="Times New Roman"/>
          <w:b/>
          <w:sz w:val="26"/>
        </w:rPr>
        <w:tab/>
      </w:r>
    </w:p>
    <w:p w:rsidR="00895745" w:rsidRDefault="00895745" w:rsidP="00895745">
      <w:pPr>
        <w:spacing w:after="0"/>
        <w:rPr>
          <w:rFonts w:ascii="Times New Roman" w:hAnsi="Times New Roman" w:cs="Times New Roman"/>
          <w:b/>
          <w:sz w:val="26"/>
        </w:rPr>
      </w:pPr>
      <w:r w:rsidRPr="007C6246">
        <w:rPr>
          <w:rFonts w:ascii="Times New Roman" w:hAnsi="Times New Roman" w:cs="Times New Roman"/>
          <w:b/>
          <w:sz w:val="26"/>
        </w:rPr>
        <w:t>Bill No. 03.</w:t>
      </w:r>
      <w:r w:rsidRPr="007C6246">
        <w:rPr>
          <w:rFonts w:ascii="Times New Roman" w:hAnsi="Times New Roman" w:cs="Times New Roman"/>
          <w:b/>
          <w:sz w:val="26"/>
        </w:rPr>
        <w:tab/>
      </w:r>
      <w:r w:rsidRPr="007C6246">
        <w:rPr>
          <w:rFonts w:ascii="Times New Roman" w:hAnsi="Times New Roman" w:cs="Times New Roman"/>
          <w:b/>
          <w:sz w:val="26"/>
        </w:rPr>
        <w:tab/>
      </w:r>
      <w:r w:rsidRPr="00CE2438">
        <w:rPr>
          <w:rFonts w:ascii="Times New Roman" w:hAnsi="Times New Roman" w:cs="Times New Roman"/>
          <w:b/>
          <w:sz w:val="26"/>
          <w:u w:val="single"/>
        </w:rPr>
        <w:t>Difference of Cost</w:t>
      </w:r>
      <w:r>
        <w:rPr>
          <w:rFonts w:ascii="Times New Roman" w:hAnsi="Times New Roman" w:cs="Times New Roman"/>
          <w:b/>
          <w:sz w:val="26"/>
        </w:rPr>
        <w:t xml:space="preserve"> </w:t>
      </w:r>
    </w:p>
    <w:p w:rsidR="00895745" w:rsidRDefault="00895745" w:rsidP="00895745">
      <w:pPr>
        <w:spacing w:after="0"/>
        <w:rPr>
          <w:rFonts w:ascii="Times New Roman" w:hAnsi="Times New Roman" w:cs="Times New Roman"/>
          <w:b/>
          <w:sz w:val="26"/>
        </w:rPr>
      </w:pP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Bitumen </w:t>
      </w:r>
      <w:r w:rsidRPr="007C6246">
        <w:rPr>
          <w:rFonts w:ascii="Times New Roman" w:hAnsi="Times New Roman" w:cs="Times New Roman"/>
          <w:sz w:val="26"/>
        </w:rPr>
        <w:tab/>
      </w:r>
      <w:r w:rsidRPr="007C6246">
        <w:rPr>
          <w:rFonts w:ascii="Times New Roman" w:hAnsi="Times New Roman" w:cs="Times New Roman"/>
          <w:sz w:val="26"/>
        </w:rPr>
        <w:tab/>
      </w:r>
      <w:r w:rsidRPr="007C6246">
        <w:rPr>
          <w:rFonts w:ascii="Times New Roman" w:hAnsi="Times New Roman" w:cs="Times New Roman"/>
          <w:sz w:val="26"/>
        </w:rPr>
        <w:tab/>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895745" w:rsidRDefault="00895745" w:rsidP="00895745">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CE2438">
        <w:rPr>
          <w:rFonts w:ascii="Times New Roman" w:hAnsi="Times New Roman" w:cs="Times New Roman"/>
          <w:sz w:val="24"/>
        </w:rPr>
        <w:t>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895745" w:rsidRDefault="00895745" w:rsidP="0089574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895745" w:rsidRDefault="00895745" w:rsidP="00895745">
      <w:pPr>
        <w:spacing w:after="0" w:line="360" w:lineRule="auto"/>
        <w:ind w:left="5040" w:firstLine="720"/>
        <w:rPr>
          <w:rFonts w:ascii="Times New Roman" w:hAnsi="Times New Roman" w:cs="Times New Roman"/>
          <w:sz w:val="26"/>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6"/>
        </w:rPr>
        <w:tab/>
      </w:r>
    </w:p>
    <w:p w:rsidR="00895745" w:rsidRDefault="00895745" w:rsidP="00895745">
      <w:pPr>
        <w:spacing w:after="0" w:line="360" w:lineRule="auto"/>
        <w:ind w:left="5040" w:firstLine="720"/>
        <w:rPr>
          <w:rFonts w:ascii="Times New Roman" w:hAnsi="Times New Roman" w:cs="Times New Roman"/>
          <w:sz w:val="26"/>
        </w:rPr>
      </w:pPr>
    </w:p>
    <w:p w:rsidR="00895745" w:rsidRDefault="00895745" w:rsidP="00895745">
      <w:pPr>
        <w:spacing w:after="0"/>
        <w:ind w:left="5040" w:firstLine="720"/>
        <w:rPr>
          <w:rFonts w:ascii="Times New Roman" w:hAnsi="Times New Roman" w:cs="Times New Roman"/>
          <w:sz w:val="24"/>
        </w:rPr>
      </w:pPr>
      <w:r>
        <w:rPr>
          <w:rFonts w:ascii="Times New Roman" w:hAnsi="Times New Roman" w:cs="Times New Roman"/>
          <w:sz w:val="24"/>
        </w:rPr>
        <w:t>-------------------------------------</w:t>
      </w:r>
      <w:r w:rsidRPr="00CE2438">
        <w:rPr>
          <w:rFonts w:ascii="Times New Roman" w:hAnsi="Times New Roman" w:cs="Times New Roman"/>
          <w:sz w:val="24"/>
        </w:rPr>
        <w:tab/>
      </w:r>
    </w:p>
    <w:p w:rsidR="00895745" w:rsidRDefault="00895745" w:rsidP="00895745">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895745" w:rsidRPr="007C6246" w:rsidRDefault="00895745" w:rsidP="00895745">
      <w:pPr>
        <w:widowControl w:val="0"/>
        <w:autoSpaceDE w:val="0"/>
        <w:autoSpaceDN w:val="0"/>
        <w:adjustRightInd w:val="0"/>
        <w:spacing w:after="0" w:line="240" w:lineRule="exact"/>
        <w:ind w:left="5040" w:firstLine="720"/>
        <w:rPr>
          <w:rFonts w:ascii="Times New Roman" w:hAnsi="Times New Roman" w:cs="Times New Roman"/>
          <w:sz w:val="24"/>
          <w:szCs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895745" w:rsidRPr="007C6246" w:rsidRDefault="00895745" w:rsidP="00895745">
      <w:pPr>
        <w:widowControl w:val="0"/>
        <w:autoSpaceDE w:val="0"/>
        <w:autoSpaceDN w:val="0"/>
        <w:adjustRightInd w:val="0"/>
        <w:spacing w:after="0" w:line="240" w:lineRule="exact"/>
        <w:rPr>
          <w:rFonts w:ascii="Times New Roman" w:hAnsi="Times New Roman" w:cs="Times New Roman"/>
          <w:sz w:val="24"/>
          <w:szCs w:val="24"/>
        </w:rPr>
      </w:pPr>
    </w:p>
    <w:p w:rsidR="00895745" w:rsidRPr="007C6246" w:rsidRDefault="00895745" w:rsidP="00895745">
      <w:pPr>
        <w:widowControl w:val="0"/>
        <w:autoSpaceDE w:val="0"/>
        <w:autoSpaceDN w:val="0"/>
        <w:adjustRightInd w:val="0"/>
        <w:spacing w:after="0" w:line="240" w:lineRule="exact"/>
        <w:rPr>
          <w:rFonts w:ascii="Times New Roman" w:hAnsi="Times New Roman" w:cs="Times New Roman"/>
          <w:sz w:val="24"/>
          <w:szCs w:val="24"/>
        </w:rPr>
      </w:pPr>
    </w:p>
    <w:sectPr w:rsidR="00895745" w:rsidRPr="007C6246" w:rsidSect="00D636F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7317F"/>
    <w:rsid w:val="00046141"/>
    <w:rsid w:val="00055711"/>
    <w:rsid w:val="00063788"/>
    <w:rsid w:val="0007317F"/>
    <w:rsid w:val="000F71D3"/>
    <w:rsid w:val="00104125"/>
    <w:rsid w:val="00123859"/>
    <w:rsid w:val="001311B3"/>
    <w:rsid w:val="0013540E"/>
    <w:rsid w:val="00140C45"/>
    <w:rsid w:val="00153F4C"/>
    <w:rsid w:val="001607CC"/>
    <w:rsid w:val="00181F88"/>
    <w:rsid w:val="001C59BA"/>
    <w:rsid w:val="00201AC7"/>
    <w:rsid w:val="00223716"/>
    <w:rsid w:val="002417F9"/>
    <w:rsid w:val="002441EC"/>
    <w:rsid w:val="0024741C"/>
    <w:rsid w:val="00264112"/>
    <w:rsid w:val="00275BA6"/>
    <w:rsid w:val="00295DDE"/>
    <w:rsid w:val="00297119"/>
    <w:rsid w:val="002E7AAD"/>
    <w:rsid w:val="00315E40"/>
    <w:rsid w:val="0032539A"/>
    <w:rsid w:val="00353834"/>
    <w:rsid w:val="00361635"/>
    <w:rsid w:val="00366716"/>
    <w:rsid w:val="00397960"/>
    <w:rsid w:val="003A4254"/>
    <w:rsid w:val="003D6F0F"/>
    <w:rsid w:val="003F42E0"/>
    <w:rsid w:val="0041692A"/>
    <w:rsid w:val="00423640"/>
    <w:rsid w:val="00465987"/>
    <w:rsid w:val="00491466"/>
    <w:rsid w:val="00495826"/>
    <w:rsid w:val="004A7BBC"/>
    <w:rsid w:val="004F3E7E"/>
    <w:rsid w:val="00500753"/>
    <w:rsid w:val="00537C37"/>
    <w:rsid w:val="00546BE8"/>
    <w:rsid w:val="005A4571"/>
    <w:rsid w:val="005B5773"/>
    <w:rsid w:val="006551E4"/>
    <w:rsid w:val="006613D3"/>
    <w:rsid w:val="006A5343"/>
    <w:rsid w:val="006A5C88"/>
    <w:rsid w:val="006F47CB"/>
    <w:rsid w:val="0072474E"/>
    <w:rsid w:val="00724FE1"/>
    <w:rsid w:val="00742359"/>
    <w:rsid w:val="00755E3B"/>
    <w:rsid w:val="00790A05"/>
    <w:rsid w:val="007D3163"/>
    <w:rsid w:val="0080571C"/>
    <w:rsid w:val="0081448A"/>
    <w:rsid w:val="0086167C"/>
    <w:rsid w:val="00895745"/>
    <w:rsid w:val="008C368F"/>
    <w:rsid w:val="0090297F"/>
    <w:rsid w:val="00902D31"/>
    <w:rsid w:val="00926055"/>
    <w:rsid w:val="009413E0"/>
    <w:rsid w:val="009A031F"/>
    <w:rsid w:val="009B594E"/>
    <w:rsid w:val="009E13B8"/>
    <w:rsid w:val="00A32493"/>
    <w:rsid w:val="00A446F5"/>
    <w:rsid w:val="00A44956"/>
    <w:rsid w:val="00A87B57"/>
    <w:rsid w:val="00AB671C"/>
    <w:rsid w:val="00B804E7"/>
    <w:rsid w:val="00BA0115"/>
    <w:rsid w:val="00BB3A40"/>
    <w:rsid w:val="00BC451D"/>
    <w:rsid w:val="00BD24C5"/>
    <w:rsid w:val="00C16926"/>
    <w:rsid w:val="00C86813"/>
    <w:rsid w:val="00CA40E1"/>
    <w:rsid w:val="00CB1EFC"/>
    <w:rsid w:val="00CB4177"/>
    <w:rsid w:val="00CE1ACB"/>
    <w:rsid w:val="00D636FA"/>
    <w:rsid w:val="00DA444E"/>
    <w:rsid w:val="00DA5800"/>
    <w:rsid w:val="00DC6CF8"/>
    <w:rsid w:val="00E02F5E"/>
    <w:rsid w:val="00E16633"/>
    <w:rsid w:val="00E36AD5"/>
    <w:rsid w:val="00E44FC6"/>
    <w:rsid w:val="00E62CB7"/>
    <w:rsid w:val="00E938FF"/>
    <w:rsid w:val="00EA0A42"/>
    <w:rsid w:val="00EE43B8"/>
    <w:rsid w:val="00EF6F65"/>
    <w:rsid w:val="00EF7013"/>
    <w:rsid w:val="00F03735"/>
    <w:rsid w:val="00F06D88"/>
    <w:rsid w:val="00F77F5E"/>
    <w:rsid w:val="00F8025A"/>
    <w:rsid w:val="00FA1D4D"/>
    <w:rsid w:val="00FA70CF"/>
    <w:rsid w:val="00FB3231"/>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 w:id="10769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70</Pages>
  <Words>15905</Words>
  <Characters>90665</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77</cp:revision>
  <cp:lastPrinted>2016-08-03T09:47:00Z</cp:lastPrinted>
  <dcterms:created xsi:type="dcterms:W3CDTF">2015-05-03T07:15:00Z</dcterms:created>
  <dcterms:modified xsi:type="dcterms:W3CDTF">2016-08-03T09:47:00Z</dcterms:modified>
</cp:coreProperties>
</file>