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21E" w:rsidRDefault="0067621E" w:rsidP="0067621E">
      <w:pPr>
        <w:spacing w:after="0"/>
        <w:ind w:left="1440" w:hanging="1980"/>
        <w:jc w:val="center"/>
        <w:rPr>
          <w:b/>
          <w:bCs/>
          <w:caps/>
          <w:sz w:val="24"/>
          <w:szCs w:val="24"/>
          <w:u w:val="single"/>
        </w:rPr>
      </w:pPr>
      <w:r>
        <w:rPr>
          <w:noProof/>
        </w:rPr>
        <w:drawing>
          <wp:anchor distT="0" distB="0" distL="114300" distR="114300" simplePos="0" relativeHeight="251658240" behindDoc="1" locked="0" layoutInCell="1" allowOverlap="1">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1" name="Picture 1" descr="Description: Description: 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22_08_2013_11_58_46_10600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Pr>
          <w:b/>
          <w:bCs/>
          <w:caps/>
          <w:sz w:val="24"/>
          <w:szCs w:val="24"/>
          <w:u w:val="single"/>
        </w:rPr>
        <w:t>Office of the executive Engineer</w:t>
      </w:r>
    </w:p>
    <w:p w:rsidR="0067621E" w:rsidRDefault="0067621E" w:rsidP="0067621E">
      <w:pPr>
        <w:spacing w:after="0"/>
        <w:ind w:left="-540"/>
        <w:jc w:val="center"/>
        <w:rPr>
          <w:bCs/>
          <w:caps/>
          <w:sz w:val="24"/>
          <w:szCs w:val="24"/>
          <w:u w:val="single"/>
        </w:rPr>
      </w:pPr>
      <w:r>
        <w:rPr>
          <w:bCs/>
          <w:caps/>
          <w:sz w:val="24"/>
          <w:szCs w:val="24"/>
          <w:u w:val="single"/>
        </w:rPr>
        <w:t xml:space="preserve">(Engineering wing) </w:t>
      </w:r>
    </w:p>
    <w:p w:rsidR="0067621E" w:rsidRDefault="0067621E" w:rsidP="0067621E">
      <w:pPr>
        <w:ind w:left="-540"/>
        <w:jc w:val="center"/>
        <w:rPr>
          <w:b/>
          <w:bCs/>
          <w:sz w:val="24"/>
          <w:szCs w:val="24"/>
          <w:u w:val="single"/>
        </w:rPr>
      </w:pPr>
    </w:p>
    <w:p w:rsidR="0067621E" w:rsidRDefault="0067621E" w:rsidP="0067621E">
      <w:pPr>
        <w:ind w:left="-540"/>
        <w:jc w:val="lowKashida"/>
        <w:rPr>
          <w:bCs/>
          <w:sz w:val="24"/>
          <w:szCs w:val="24"/>
        </w:rPr>
      </w:pPr>
      <w:r>
        <w:rPr>
          <w:bCs/>
          <w:sz w:val="24"/>
          <w:szCs w:val="24"/>
        </w:rPr>
        <w:t>No.</w:t>
      </w:r>
      <w:r w:rsidR="00381791">
        <w:rPr>
          <w:bCs/>
          <w:sz w:val="24"/>
          <w:szCs w:val="24"/>
        </w:rPr>
        <w:t xml:space="preserve"> SMBBMU/XEN/ADP/2016/120</w:t>
      </w:r>
      <w:r w:rsidR="00381791">
        <w:rPr>
          <w:bCs/>
          <w:sz w:val="24"/>
          <w:szCs w:val="24"/>
        </w:rPr>
        <w:tab/>
      </w:r>
      <w:r w:rsidR="00381791">
        <w:rPr>
          <w:bCs/>
          <w:sz w:val="24"/>
          <w:szCs w:val="24"/>
        </w:rPr>
        <w:tab/>
      </w:r>
      <w:r w:rsidR="00381791">
        <w:rPr>
          <w:bCs/>
          <w:sz w:val="24"/>
          <w:szCs w:val="24"/>
        </w:rPr>
        <w:tab/>
      </w:r>
      <w:r w:rsidR="00381791">
        <w:rPr>
          <w:bCs/>
          <w:sz w:val="24"/>
          <w:szCs w:val="24"/>
        </w:rPr>
        <w:tab/>
      </w:r>
      <w:r w:rsidR="00381791">
        <w:rPr>
          <w:bCs/>
          <w:sz w:val="24"/>
          <w:szCs w:val="24"/>
        </w:rPr>
        <w:tab/>
      </w:r>
      <w:r w:rsidR="00381791">
        <w:rPr>
          <w:bCs/>
          <w:sz w:val="24"/>
          <w:szCs w:val="24"/>
        </w:rPr>
        <w:tab/>
        <w:t xml:space="preserve">             </w:t>
      </w:r>
      <w:r>
        <w:rPr>
          <w:bCs/>
          <w:sz w:val="24"/>
          <w:szCs w:val="24"/>
        </w:rPr>
        <w:t>Dated: 20</w:t>
      </w:r>
      <w:r>
        <w:rPr>
          <w:bCs/>
          <w:sz w:val="24"/>
          <w:szCs w:val="24"/>
          <w:vertAlign w:val="superscript"/>
        </w:rPr>
        <w:t>th</w:t>
      </w:r>
      <w:r>
        <w:rPr>
          <w:bCs/>
          <w:sz w:val="24"/>
          <w:szCs w:val="24"/>
        </w:rPr>
        <w:t xml:space="preserve"> May, 2016 </w:t>
      </w:r>
    </w:p>
    <w:p w:rsidR="0067621E" w:rsidRDefault="0067621E" w:rsidP="0067621E">
      <w:pPr>
        <w:ind w:left="5220" w:firstLine="1260"/>
        <w:jc w:val="lowKashida"/>
        <w:rPr>
          <w:b/>
          <w:bCs/>
          <w:sz w:val="24"/>
          <w:szCs w:val="24"/>
          <w:u w:val="single"/>
        </w:rPr>
      </w:pPr>
      <w:r>
        <w:rPr>
          <w:b/>
          <w:bCs/>
          <w:sz w:val="24"/>
          <w:szCs w:val="24"/>
          <w:u w:val="single"/>
        </w:rPr>
        <w:t>“SAY NO TO CURRUPTION”</w:t>
      </w:r>
    </w:p>
    <w:p w:rsidR="0067621E" w:rsidRDefault="0067621E" w:rsidP="0067621E">
      <w:pPr>
        <w:pStyle w:val="NormalWeb"/>
        <w:spacing w:before="0" w:beforeAutospacing="0" w:afterAutospacing="0"/>
        <w:ind w:left="2160" w:firstLine="720"/>
        <w:jc w:val="both"/>
      </w:pPr>
      <w:r>
        <w:rPr>
          <w:rStyle w:val="Strong"/>
        </w:rPr>
        <w:t>NOTICE INVITING TENDERS</w:t>
      </w:r>
    </w:p>
    <w:p w:rsidR="0067621E" w:rsidRDefault="0067621E" w:rsidP="0067621E">
      <w:pPr>
        <w:pStyle w:val="NormalWeb"/>
        <w:spacing w:before="0" w:beforeAutospacing="0" w:after="0" w:afterAutospacing="0"/>
        <w:ind w:left="-360" w:firstLine="1080"/>
        <w:jc w:val="both"/>
      </w:pPr>
      <w: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67621E" w:rsidTr="0067621E">
        <w:tc>
          <w:tcPr>
            <w:tcW w:w="54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rPr>
                <w:b/>
              </w:rPr>
            </w:pPr>
            <w:r>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rPr>
                <w:b/>
              </w:rPr>
            </w:pPr>
            <w:r>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rPr>
                <w:b/>
              </w:rPr>
            </w:pPr>
            <w:r>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ind w:hanging="108"/>
              <w:jc w:val="center"/>
              <w:rPr>
                <w:b/>
              </w:rPr>
            </w:pPr>
            <w:r>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rPr>
                <w:b/>
              </w:rPr>
            </w:pPr>
            <w:r>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ind w:right="-108" w:hanging="108"/>
              <w:jc w:val="center"/>
              <w:rPr>
                <w:b/>
              </w:rPr>
            </w:pPr>
            <w:r>
              <w:rPr>
                <w:b/>
              </w:rPr>
              <w:t>Completion Time</w:t>
            </w:r>
          </w:p>
        </w:tc>
      </w:tr>
      <w:tr w:rsidR="0067621E" w:rsidTr="0067621E">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spacing w:before="0" w:beforeAutospacing="0" w:after="0" w:afterAutospacing="0"/>
              <w:jc w:val="both"/>
            </w:pPr>
            <w:r>
              <w:rPr>
                <w:bCs/>
              </w:rPr>
              <w:t>Renovation &amp; Rehabilitation (Electric Works) of</w:t>
            </w:r>
            <w:r>
              <w:t xml:space="preserve"> Hostel# 01 &amp; 04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spacing w:before="240"/>
              <w:jc w:val="center"/>
              <w:rPr>
                <w:sz w:val="24"/>
                <w:szCs w:val="24"/>
              </w:rPr>
            </w:pPr>
            <w:r>
              <w:rPr>
                <w:sz w:val="24"/>
                <w:szCs w:val="24"/>
              </w:rPr>
              <w:t>6.474</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06 months</w:t>
            </w:r>
          </w:p>
        </w:tc>
      </w:tr>
      <w:tr w:rsidR="0067621E" w:rsidTr="0067621E">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spacing w:before="0" w:beforeAutospacing="0" w:after="0" w:afterAutospacing="0"/>
              <w:jc w:val="both"/>
            </w:pPr>
            <w:r>
              <w:rPr>
                <w:bCs/>
              </w:rPr>
              <w:t>Renovation &amp; Rehabilitation (Electric Works) of</w:t>
            </w:r>
            <w:r>
              <w:t xml:space="preserve"> Hostel# 03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jc w:val="center"/>
              <w:rPr>
                <w:sz w:val="24"/>
                <w:szCs w:val="24"/>
              </w:rPr>
            </w:pPr>
            <w:r>
              <w:rPr>
                <w:sz w:val="24"/>
                <w:szCs w:val="24"/>
              </w:rPr>
              <w:t>2.823</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06 months</w:t>
            </w:r>
          </w:p>
        </w:tc>
      </w:tr>
      <w:tr w:rsidR="0067621E" w:rsidTr="0067621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spacing w:before="0" w:beforeAutospacing="0" w:after="0" w:afterAutospacing="0"/>
              <w:jc w:val="both"/>
            </w:pPr>
            <w:r>
              <w:rPr>
                <w:bCs/>
              </w:rPr>
              <w:t>Renovation &amp; Rehabilitation (Electric Works) of</w:t>
            </w:r>
            <w:r>
              <w:t xml:space="preserve"> Hostel# 05 &amp; 06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jc w:val="center"/>
              <w:rPr>
                <w:sz w:val="24"/>
                <w:szCs w:val="24"/>
              </w:rPr>
            </w:pPr>
            <w:r>
              <w:rPr>
                <w:sz w:val="24"/>
                <w:szCs w:val="24"/>
              </w:rPr>
              <w:t>4.241</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06 months</w:t>
            </w:r>
          </w:p>
        </w:tc>
      </w:tr>
      <w:tr w:rsidR="0067621E" w:rsidTr="0067621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spacing w:before="0" w:beforeAutospacing="0" w:after="0" w:afterAutospacing="0"/>
              <w:jc w:val="both"/>
              <w:rPr>
                <w:bCs/>
              </w:rPr>
            </w:pPr>
            <w:r>
              <w:rPr>
                <w:bCs/>
              </w:rPr>
              <w:t>Renovation &amp; Rehabilitation (Electric Works) of</w:t>
            </w:r>
            <w:r>
              <w:t xml:space="preserve"> </w:t>
            </w:r>
            <w:proofErr w:type="spellStart"/>
            <w:r>
              <w:t>Marvi</w:t>
            </w:r>
            <w:proofErr w:type="spellEnd"/>
            <w:r>
              <w:t xml:space="preserve"> Hostel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jc w:val="center"/>
              <w:rPr>
                <w:sz w:val="24"/>
                <w:szCs w:val="24"/>
              </w:rPr>
            </w:pPr>
            <w:r>
              <w:rPr>
                <w:sz w:val="24"/>
                <w:szCs w:val="24"/>
              </w:rPr>
              <w:t>4.590</w:t>
            </w:r>
          </w:p>
        </w:tc>
        <w:tc>
          <w:tcPr>
            <w:tcW w:w="117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7621E" w:rsidRDefault="0067621E">
            <w:pPr>
              <w:pStyle w:val="NormalWeb"/>
              <w:jc w:val="center"/>
            </w:pPr>
            <w:r>
              <w:t>12 months</w:t>
            </w:r>
          </w:p>
        </w:tc>
      </w:tr>
    </w:tbl>
    <w:p w:rsidR="0067621E" w:rsidRDefault="0067621E" w:rsidP="0067621E">
      <w:pPr>
        <w:pStyle w:val="NormalWeb"/>
        <w:spacing w:before="0" w:beforeAutospacing="0" w:after="0" w:afterAutospacing="0"/>
        <w:jc w:val="both"/>
      </w:pPr>
    </w:p>
    <w:p w:rsidR="0067621E" w:rsidRDefault="0067621E" w:rsidP="0067621E">
      <w:pPr>
        <w:pStyle w:val="NormalWeb"/>
        <w:spacing w:before="0" w:beforeAutospacing="0" w:after="0" w:afterAutospacing="0"/>
        <w:ind w:left="-360"/>
        <w:jc w:val="both"/>
      </w:pPr>
      <w:r>
        <w:rPr>
          <w:b/>
          <w:u w:val="single"/>
        </w:rPr>
        <w:t>The terms and conditions are given as under:-</w:t>
      </w:r>
    </w:p>
    <w:p w:rsidR="0067621E" w:rsidRDefault="0067621E" w:rsidP="0067621E">
      <w:pPr>
        <w:numPr>
          <w:ilvl w:val="0"/>
          <w:numId w:val="1"/>
        </w:numPr>
        <w:spacing w:after="0" w:line="240" w:lineRule="auto"/>
        <w:ind w:right="-180"/>
        <w:jc w:val="both"/>
        <w:rPr>
          <w:sz w:val="24"/>
          <w:szCs w:val="24"/>
        </w:rPr>
      </w:pPr>
      <w:r>
        <w:rPr>
          <w:sz w:val="24"/>
          <w:szCs w:val="24"/>
        </w:rPr>
        <w:t xml:space="preserve">The tender documents can be obtained from the office of Executive Engineer or can be downloaded from SPPRA website i.e. </w:t>
      </w:r>
      <w:hyperlink r:id="rId7" w:history="1">
        <w:r>
          <w:rPr>
            <w:rStyle w:val="Hyperlink"/>
            <w:sz w:val="24"/>
            <w:szCs w:val="24"/>
          </w:rPr>
          <w:t>www.pprasindh.gov.pk</w:t>
        </w:r>
      </w:hyperlink>
      <w:r>
        <w:rPr>
          <w:sz w:val="24"/>
          <w:szCs w:val="24"/>
        </w:rPr>
        <w:t xml:space="preserve"> and University website </w:t>
      </w:r>
      <w:hyperlink r:id="rId8" w:history="1">
        <w:r>
          <w:rPr>
            <w:rStyle w:val="Hyperlink"/>
            <w:sz w:val="24"/>
            <w:szCs w:val="24"/>
          </w:rPr>
          <w:t>www.smbbmu.edu.pk</w:t>
        </w:r>
      </w:hyperlink>
      <w:r>
        <w:rPr>
          <w:sz w:val="24"/>
          <w:szCs w:val="24"/>
        </w:rPr>
        <w:t xml:space="preserve"> on the payment noted above (non-refundable) from 25-05-2016 to 08-06-2016 on any working day. The sealed tender on prescribed proforma along with 5% earnest money of total bid in the form of Pay Order in favor of the Executive Engineer, SMBBMU Larkana shall be submitted by 09-06-2016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67621E" w:rsidRDefault="0067621E" w:rsidP="0067621E">
      <w:pPr>
        <w:numPr>
          <w:ilvl w:val="0"/>
          <w:numId w:val="1"/>
        </w:numPr>
        <w:tabs>
          <w:tab w:val="left" w:pos="540"/>
        </w:tabs>
        <w:spacing w:after="0" w:line="240" w:lineRule="auto"/>
        <w:ind w:right="-180"/>
        <w:jc w:val="both"/>
        <w:rPr>
          <w:sz w:val="24"/>
          <w:szCs w:val="24"/>
        </w:rPr>
      </w:pPr>
      <w:r>
        <w:rPr>
          <w:sz w:val="24"/>
          <w:szCs w:val="24"/>
        </w:rPr>
        <w:t>The Bidders shall have PEC Registration in Category C-5 &amp; above for Electric works &amp; License of Regional Electrical Inspector (Larkana Region), Water &amp; Power Department, Govt. of Sindh.</w:t>
      </w:r>
    </w:p>
    <w:p w:rsidR="0067621E" w:rsidRDefault="0067621E" w:rsidP="0067621E">
      <w:pPr>
        <w:numPr>
          <w:ilvl w:val="0"/>
          <w:numId w:val="1"/>
        </w:numPr>
        <w:spacing w:after="0" w:line="240" w:lineRule="auto"/>
        <w:ind w:right="-180"/>
        <w:jc w:val="both"/>
        <w:rPr>
          <w:sz w:val="24"/>
          <w:szCs w:val="24"/>
        </w:rPr>
      </w:pPr>
      <w:r>
        <w:rPr>
          <w:sz w:val="24"/>
          <w:szCs w:val="24"/>
        </w:rPr>
        <w:t>The Method of Procurement is Single Stage Two Envelopes.</w:t>
      </w:r>
    </w:p>
    <w:p w:rsidR="0067621E" w:rsidRDefault="0067621E" w:rsidP="0067621E">
      <w:pPr>
        <w:numPr>
          <w:ilvl w:val="0"/>
          <w:numId w:val="2"/>
        </w:numPr>
        <w:spacing w:after="0" w:line="240" w:lineRule="auto"/>
        <w:ind w:right="-180"/>
        <w:jc w:val="both"/>
        <w:rPr>
          <w:sz w:val="24"/>
          <w:szCs w:val="24"/>
        </w:rPr>
      </w:pPr>
      <w:r>
        <w:rPr>
          <w:sz w:val="24"/>
          <w:szCs w:val="24"/>
        </w:rPr>
        <w:lastRenderedPageBreak/>
        <w:t>Bid shall comprise a single package containing two separate envelopes. Each envelope shall contain separately the financial proposal and the technical proposal.</w:t>
      </w:r>
    </w:p>
    <w:p w:rsidR="0067621E" w:rsidRDefault="0067621E" w:rsidP="0067621E">
      <w:pPr>
        <w:numPr>
          <w:ilvl w:val="0"/>
          <w:numId w:val="2"/>
        </w:numPr>
        <w:spacing w:after="0" w:line="240" w:lineRule="auto"/>
        <w:ind w:right="-180"/>
        <w:jc w:val="both"/>
        <w:rPr>
          <w:sz w:val="24"/>
          <w:szCs w:val="24"/>
        </w:rPr>
      </w:pPr>
      <w:r>
        <w:rPr>
          <w:sz w:val="24"/>
          <w:szCs w:val="24"/>
        </w:rPr>
        <w:t>Envelopes shall be marked as “FINANCIAL PROPOSAL” and “TECHNICAL PROPOSAL” in bold and legible letters to avoid confusion</w:t>
      </w:r>
    </w:p>
    <w:p w:rsidR="0067621E" w:rsidRDefault="0067621E" w:rsidP="0067621E">
      <w:pPr>
        <w:numPr>
          <w:ilvl w:val="0"/>
          <w:numId w:val="2"/>
        </w:numPr>
        <w:spacing w:after="0" w:line="240" w:lineRule="auto"/>
        <w:ind w:right="-180"/>
        <w:jc w:val="both"/>
        <w:rPr>
          <w:sz w:val="24"/>
          <w:szCs w:val="24"/>
        </w:rPr>
      </w:pPr>
      <w:r>
        <w:rPr>
          <w:sz w:val="24"/>
          <w:szCs w:val="24"/>
        </w:rPr>
        <w:t>Initially, only the envelope marked “TECHNICAL PROPOSAL” shall be opened.</w:t>
      </w:r>
    </w:p>
    <w:p w:rsidR="0067621E" w:rsidRDefault="0067621E" w:rsidP="0067621E">
      <w:pPr>
        <w:numPr>
          <w:ilvl w:val="0"/>
          <w:numId w:val="2"/>
        </w:numPr>
        <w:spacing w:after="0" w:line="240" w:lineRule="auto"/>
        <w:ind w:right="-180"/>
        <w:jc w:val="both"/>
        <w:rPr>
          <w:sz w:val="24"/>
          <w:szCs w:val="24"/>
        </w:rPr>
      </w:pPr>
      <w:r>
        <w:rPr>
          <w:sz w:val="24"/>
          <w:szCs w:val="24"/>
        </w:rPr>
        <w:t xml:space="preserve"> Envelope marked as FINANCIAL PROPOSAL” shall be retained in the custody of the procuring agency without being opened.</w:t>
      </w:r>
    </w:p>
    <w:p w:rsidR="0067621E" w:rsidRDefault="0067621E" w:rsidP="0067621E">
      <w:pPr>
        <w:numPr>
          <w:ilvl w:val="0"/>
          <w:numId w:val="2"/>
        </w:numPr>
        <w:spacing w:after="0" w:line="240" w:lineRule="auto"/>
        <w:ind w:right="-180"/>
        <w:jc w:val="both"/>
        <w:rPr>
          <w:sz w:val="24"/>
          <w:szCs w:val="24"/>
        </w:rPr>
      </w:pPr>
      <w:r>
        <w:rPr>
          <w:sz w:val="24"/>
          <w:szCs w:val="24"/>
        </w:rPr>
        <w:t xml:space="preserve">Procuring agency shall evaluate the technical proposal in a manner prescribed in advance, without reference to the price and reject any proposal which does not </w:t>
      </w:r>
      <w:proofErr w:type="gramStart"/>
      <w:r>
        <w:rPr>
          <w:sz w:val="24"/>
          <w:szCs w:val="24"/>
        </w:rPr>
        <w:t>conform</w:t>
      </w:r>
      <w:proofErr w:type="gramEnd"/>
      <w:r>
        <w:rPr>
          <w:sz w:val="24"/>
          <w:szCs w:val="24"/>
        </w:rPr>
        <w:t xml:space="preserve"> the specified requirements.</w:t>
      </w:r>
    </w:p>
    <w:p w:rsidR="0067621E" w:rsidRDefault="0067621E" w:rsidP="0067621E">
      <w:pPr>
        <w:numPr>
          <w:ilvl w:val="0"/>
          <w:numId w:val="2"/>
        </w:numPr>
        <w:spacing w:after="0" w:line="240" w:lineRule="auto"/>
        <w:ind w:right="-180"/>
        <w:jc w:val="both"/>
        <w:rPr>
          <w:sz w:val="24"/>
          <w:szCs w:val="24"/>
        </w:rPr>
      </w:pPr>
      <w:r>
        <w:rPr>
          <w:sz w:val="24"/>
          <w:szCs w:val="24"/>
        </w:rPr>
        <w:t>No amendments in the technical proposal shall be permitted during the technical evaluation.</w:t>
      </w:r>
    </w:p>
    <w:p w:rsidR="0067621E" w:rsidRDefault="0067621E" w:rsidP="0067621E">
      <w:pPr>
        <w:numPr>
          <w:ilvl w:val="0"/>
          <w:numId w:val="2"/>
        </w:numPr>
        <w:spacing w:after="0" w:line="240" w:lineRule="auto"/>
        <w:ind w:right="-180"/>
        <w:jc w:val="both"/>
        <w:rPr>
          <w:sz w:val="24"/>
          <w:szCs w:val="24"/>
        </w:rPr>
      </w:pPr>
      <w:r>
        <w:rPr>
          <w:sz w:val="24"/>
          <w:szCs w:val="24"/>
        </w:rPr>
        <w:t>Financial proposals of technically qualified bids shall be opened publically at a time, date and venue announced and communicated to the bidders in advance.</w:t>
      </w:r>
    </w:p>
    <w:p w:rsidR="0067621E" w:rsidRDefault="0067621E" w:rsidP="0067621E">
      <w:pPr>
        <w:numPr>
          <w:ilvl w:val="0"/>
          <w:numId w:val="2"/>
        </w:numPr>
        <w:spacing w:after="0" w:line="240" w:lineRule="auto"/>
        <w:ind w:right="-180"/>
        <w:jc w:val="both"/>
        <w:rPr>
          <w:sz w:val="24"/>
          <w:szCs w:val="24"/>
        </w:rPr>
      </w:pPr>
      <w:r>
        <w:rPr>
          <w:sz w:val="24"/>
          <w:szCs w:val="24"/>
        </w:rPr>
        <w:t>Financial proposal of bids found technically non- responsive shall be returned un-opened to the respective bidders; and</w:t>
      </w:r>
    </w:p>
    <w:p w:rsidR="0067621E" w:rsidRDefault="0067621E" w:rsidP="0067621E">
      <w:pPr>
        <w:numPr>
          <w:ilvl w:val="0"/>
          <w:numId w:val="2"/>
        </w:numPr>
        <w:spacing w:after="0" w:line="240" w:lineRule="auto"/>
        <w:ind w:right="-180"/>
        <w:jc w:val="both"/>
        <w:rPr>
          <w:sz w:val="24"/>
          <w:szCs w:val="24"/>
        </w:rPr>
      </w:pPr>
      <w:r>
        <w:rPr>
          <w:sz w:val="24"/>
          <w:szCs w:val="24"/>
        </w:rPr>
        <w:t>The bids found to be lowest evaluated or best evaluated bid shall be accepted.</w:t>
      </w:r>
    </w:p>
    <w:p w:rsidR="0067621E" w:rsidRDefault="0067621E" w:rsidP="0067621E">
      <w:pPr>
        <w:tabs>
          <w:tab w:val="left" w:pos="720"/>
        </w:tabs>
        <w:ind w:right="-180"/>
        <w:jc w:val="both"/>
        <w:rPr>
          <w:b/>
          <w:i/>
          <w:sz w:val="24"/>
          <w:szCs w:val="24"/>
        </w:rPr>
      </w:pPr>
      <w:r>
        <w:rPr>
          <w:b/>
          <w:i/>
          <w:sz w:val="24"/>
          <w:szCs w:val="24"/>
        </w:rPr>
        <w:t>The Procuring Agency reserves the right to reject any or all bids subject to relevant provisions of SPP Rules, 2010 and may cancel the bidding process at any time prior t</w:t>
      </w:r>
      <w:bookmarkStart w:id="0" w:name="_GoBack"/>
      <w:bookmarkEnd w:id="0"/>
      <w:r>
        <w:rPr>
          <w:b/>
          <w:i/>
          <w:sz w:val="24"/>
          <w:szCs w:val="24"/>
        </w:rPr>
        <w:t>o the acceptance of a bid or proposal under Rule-25” of said Rules.</w:t>
      </w:r>
    </w:p>
    <w:p w:rsidR="0067621E" w:rsidRDefault="0067621E" w:rsidP="0067621E">
      <w:pPr>
        <w:pStyle w:val="BodyText"/>
        <w:ind w:left="4320"/>
        <w:rPr>
          <w:rFonts w:ascii="Times New Roman" w:hAnsi="Times New Roman"/>
          <w:sz w:val="24"/>
          <w:szCs w:val="24"/>
        </w:rPr>
      </w:pPr>
    </w:p>
    <w:p w:rsidR="0067621E" w:rsidRDefault="0067621E" w:rsidP="0067621E">
      <w:pPr>
        <w:ind w:left="4320"/>
        <w:jc w:val="center"/>
        <w:rPr>
          <w:rFonts w:ascii="Times New Roman" w:hAnsi="Times New Roman"/>
          <w:b/>
          <w:sz w:val="24"/>
          <w:szCs w:val="24"/>
        </w:rPr>
      </w:pPr>
    </w:p>
    <w:p w:rsidR="0067621E" w:rsidRDefault="0067621E" w:rsidP="0067621E">
      <w:pPr>
        <w:spacing w:after="0"/>
        <w:ind w:left="4320"/>
        <w:jc w:val="center"/>
        <w:rPr>
          <w:b/>
          <w:bCs/>
          <w:sz w:val="24"/>
          <w:szCs w:val="24"/>
        </w:rPr>
      </w:pPr>
      <w:r>
        <w:rPr>
          <w:b/>
          <w:sz w:val="24"/>
          <w:szCs w:val="24"/>
        </w:rPr>
        <w:t>Executive Engineer</w:t>
      </w:r>
    </w:p>
    <w:p w:rsidR="0067621E" w:rsidRDefault="0067621E" w:rsidP="0067621E">
      <w:pPr>
        <w:spacing w:after="0"/>
        <w:ind w:left="4320"/>
        <w:jc w:val="center"/>
        <w:rPr>
          <w:b/>
          <w:bCs/>
          <w:sz w:val="24"/>
          <w:szCs w:val="24"/>
        </w:rPr>
      </w:pPr>
      <w:r>
        <w:rPr>
          <w:sz w:val="24"/>
          <w:szCs w:val="24"/>
        </w:rPr>
        <w:t>SMBB Medical University Larkana</w:t>
      </w:r>
    </w:p>
    <w:p w:rsidR="0067621E" w:rsidRDefault="0067621E" w:rsidP="0067621E">
      <w:pPr>
        <w:spacing w:after="0"/>
        <w:ind w:left="4320"/>
        <w:jc w:val="center"/>
        <w:rPr>
          <w:sz w:val="24"/>
          <w:szCs w:val="24"/>
        </w:rPr>
      </w:pPr>
      <w:r>
        <w:rPr>
          <w:sz w:val="24"/>
          <w:szCs w:val="24"/>
        </w:rPr>
        <w:t>Phone No. 074-9410911 Fax: 074-475234</w:t>
      </w:r>
    </w:p>
    <w:p w:rsidR="0067621E" w:rsidRDefault="0067621E" w:rsidP="0067621E">
      <w:pPr>
        <w:spacing w:after="0"/>
        <w:ind w:left="4320"/>
        <w:jc w:val="center"/>
        <w:rPr>
          <w:sz w:val="24"/>
          <w:szCs w:val="24"/>
        </w:rPr>
      </w:pPr>
      <w:r>
        <w:rPr>
          <w:sz w:val="24"/>
          <w:szCs w:val="24"/>
        </w:rPr>
        <w:t>Email: engineer@smbbmu.edu.pk</w:t>
      </w:r>
    </w:p>
    <w:p w:rsidR="00B7350C" w:rsidRDefault="00B7350C"/>
    <w:sectPr w:rsidR="00B7350C" w:rsidSect="0044681C">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2766AB"/>
    <w:multiLevelType w:val="hybridMultilevel"/>
    <w:tmpl w:val="F9E0CC8A"/>
    <w:lvl w:ilvl="0" w:tplc="6002A066">
      <w:start w:val="1"/>
      <w:numFmt w:val="decimalZero"/>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1015960"/>
    <w:multiLevelType w:val="hybridMultilevel"/>
    <w:tmpl w:val="BBC89124"/>
    <w:lvl w:ilvl="0" w:tplc="E0CC70C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21E"/>
    <w:rsid w:val="00032F4A"/>
    <w:rsid w:val="00381791"/>
    <w:rsid w:val="0044681C"/>
    <w:rsid w:val="00533B70"/>
    <w:rsid w:val="0067621E"/>
    <w:rsid w:val="007E425E"/>
    <w:rsid w:val="008056B7"/>
    <w:rsid w:val="00A15716"/>
    <w:rsid w:val="00B7350C"/>
    <w:rsid w:val="00CA48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1E"/>
    <w:rPr>
      <w:rFonts w:ascii="Calibri" w:eastAsia="Calibri" w:hAnsi="Calibri"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67621E"/>
    <w:rPr>
      <w:color w:val="0000FF"/>
      <w:u w:val="single"/>
    </w:rPr>
  </w:style>
  <w:style w:type="paragraph" w:styleId="NormalWeb">
    <w:name w:val="Normal (Web)"/>
    <w:basedOn w:val="Normal"/>
    <w:unhideWhenUsed/>
    <w:rsid w:val="0067621E"/>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semiHidden/>
    <w:unhideWhenUsed/>
    <w:rsid w:val="0067621E"/>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semiHidden/>
    <w:rsid w:val="0067621E"/>
    <w:rPr>
      <w:rFonts w:ascii="Arial" w:eastAsia="Times New Roman" w:hAnsi="Arial" w:cs="Times New Roman"/>
      <w:b/>
      <w:bCs/>
      <w:sz w:val="36"/>
      <w:szCs w:val="28"/>
    </w:rPr>
  </w:style>
  <w:style w:type="character" w:styleId="Strong">
    <w:name w:val="Strong"/>
    <w:basedOn w:val="DefaultParagraphFont"/>
    <w:qFormat/>
    <w:rsid w:val="006762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21E"/>
    <w:rPr>
      <w:rFonts w:ascii="Calibri" w:eastAsia="Calibri" w:hAnsi="Calibri"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67621E"/>
    <w:rPr>
      <w:color w:val="0000FF"/>
      <w:u w:val="single"/>
    </w:rPr>
  </w:style>
  <w:style w:type="paragraph" w:styleId="NormalWeb">
    <w:name w:val="Normal (Web)"/>
    <w:basedOn w:val="Normal"/>
    <w:unhideWhenUsed/>
    <w:rsid w:val="0067621E"/>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semiHidden/>
    <w:unhideWhenUsed/>
    <w:rsid w:val="0067621E"/>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semiHidden/>
    <w:rsid w:val="0067621E"/>
    <w:rPr>
      <w:rFonts w:ascii="Arial" w:eastAsia="Times New Roman" w:hAnsi="Arial" w:cs="Times New Roman"/>
      <w:b/>
      <w:bCs/>
      <w:sz w:val="36"/>
      <w:szCs w:val="28"/>
    </w:rPr>
  </w:style>
  <w:style w:type="character" w:styleId="Strong">
    <w:name w:val="Strong"/>
    <w:basedOn w:val="DefaultParagraphFont"/>
    <w:qFormat/>
    <w:rsid w:val="006762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09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bbmu.edu.pk" TargetMode="External"/><Relationship Id="rId3" Type="http://schemas.microsoft.com/office/2007/relationships/stylesWithEffects" Target="stylesWithEffects.xml"/><Relationship Id="rId7"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601</Words>
  <Characters>3426</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dc:creator>
  <cp:lastModifiedBy>M.Ali</cp:lastModifiedBy>
  <cp:revision>3</cp:revision>
  <dcterms:created xsi:type="dcterms:W3CDTF">2016-05-20T07:57:00Z</dcterms:created>
  <dcterms:modified xsi:type="dcterms:W3CDTF">2016-05-20T09:37:00Z</dcterms:modified>
</cp:coreProperties>
</file>