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B2D" w:rsidRDefault="00481B2D" w:rsidP="00481B2D">
      <w:pPr>
        <w:pStyle w:val="NoSpacing"/>
        <w:jc w:val="right"/>
      </w:pPr>
      <w:r>
        <w:t>GOVERNMENT OF SINDH</w:t>
      </w:r>
    </w:p>
    <w:p w:rsidR="00481B2D" w:rsidRDefault="00481B2D" w:rsidP="00481B2D">
      <w:pPr>
        <w:pStyle w:val="NoSpacing"/>
        <w:jc w:val="right"/>
      </w:pPr>
      <w:r>
        <w:t>IRRIGATION DEPARTMENT</w:t>
      </w:r>
    </w:p>
    <w:p w:rsidR="00481B2D" w:rsidRDefault="00481B2D" w:rsidP="00481B2D">
      <w:pPr>
        <w:pStyle w:val="NoSpacing"/>
        <w:jc w:val="right"/>
      </w:pPr>
    </w:p>
    <w:p w:rsidR="00481B2D" w:rsidRDefault="00481B2D" w:rsidP="00481B2D">
      <w:pPr>
        <w:pStyle w:val="NoSpacing"/>
        <w:jc w:val="center"/>
        <w:rPr>
          <w:b/>
          <w:sz w:val="32"/>
        </w:rPr>
      </w:pPr>
      <w:r w:rsidRPr="00481B2D">
        <w:rPr>
          <w:b/>
          <w:sz w:val="32"/>
        </w:rPr>
        <w:t>NOTICE INVITING TECHNICAL BIDS</w:t>
      </w:r>
    </w:p>
    <w:p w:rsidR="00481B2D" w:rsidRDefault="00481B2D" w:rsidP="00481B2D">
      <w:pPr>
        <w:pStyle w:val="NoSpacing"/>
        <w:rPr>
          <w:b/>
          <w:sz w:val="32"/>
        </w:rPr>
      </w:pPr>
    </w:p>
    <w:p w:rsidR="00481B2D" w:rsidRDefault="00481B2D" w:rsidP="00481B2D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</w:rPr>
        <w:t>Provincial Government funds: ADP No: 836 (2015-16)</w:t>
      </w:r>
    </w:p>
    <w:p w:rsidR="00481B2D" w:rsidRDefault="00481B2D" w:rsidP="00481B2D">
      <w:pPr>
        <w:pStyle w:val="NoSpacing"/>
        <w:rPr>
          <w:sz w:val="24"/>
          <w:szCs w:val="24"/>
        </w:rPr>
      </w:pPr>
    </w:p>
    <w:p w:rsidR="00481B2D" w:rsidRDefault="002245F0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481B2D">
        <w:rPr>
          <w:sz w:val="24"/>
          <w:szCs w:val="24"/>
        </w:rPr>
        <w:tab/>
      </w:r>
      <w:r w:rsidR="00481B2D">
        <w:rPr>
          <w:sz w:val="24"/>
          <w:szCs w:val="24"/>
        </w:rPr>
        <w:tab/>
      </w:r>
      <w:r>
        <w:rPr>
          <w:sz w:val="24"/>
          <w:szCs w:val="24"/>
        </w:rPr>
        <w:t xml:space="preserve">The Irrigation </w:t>
      </w:r>
      <w:proofErr w:type="spellStart"/>
      <w:r>
        <w:rPr>
          <w:sz w:val="24"/>
          <w:szCs w:val="24"/>
        </w:rPr>
        <w:t>Gudu</w:t>
      </w:r>
      <w:proofErr w:type="spellEnd"/>
      <w:r>
        <w:rPr>
          <w:sz w:val="24"/>
          <w:szCs w:val="24"/>
        </w:rPr>
        <w:t xml:space="preserve"> Barrage Region (Procurement Agency) has received funds from the Provincial Government towards the cost of Construction of CC Lining of RD-0 to 20.5 L- Minor off taking from </w:t>
      </w:r>
      <w:proofErr w:type="spellStart"/>
      <w:r>
        <w:rPr>
          <w:sz w:val="24"/>
          <w:szCs w:val="24"/>
        </w:rPr>
        <w:t>Jaro</w:t>
      </w:r>
      <w:proofErr w:type="spellEnd"/>
      <w:r>
        <w:rPr>
          <w:sz w:val="24"/>
          <w:szCs w:val="24"/>
        </w:rPr>
        <w:t xml:space="preserve"> Canal RD-12 (Estimated cost Rs. 148.717 Million) and it is intended that part of the proceeds of the funds will be applied to eligible payments under the contract for the above work. </w:t>
      </w:r>
    </w:p>
    <w:p w:rsidR="002245F0" w:rsidRDefault="002245F0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Bidding is opened to all firms / constructors meeting the following qualification criteria:</w:t>
      </w:r>
    </w:p>
    <w:p w:rsidR="002245F0" w:rsidRDefault="002245F0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245F0">
        <w:rPr>
          <w:sz w:val="24"/>
          <w:szCs w:val="24"/>
          <w:u w:val="single"/>
        </w:rPr>
        <w:t>Qualification Criteria:</w:t>
      </w:r>
    </w:p>
    <w:tbl>
      <w:tblPr>
        <w:tblStyle w:val="TableGrid"/>
        <w:tblW w:w="9468" w:type="dxa"/>
        <w:tblLook w:val="04A0"/>
      </w:tblPr>
      <w:tblGrid>
        <w:gridCol w:w="918"/>
        <w:gridCol w:w="5580"/>
        <w:gridCol w:w="2970"/>
      </w:tblGrid>
      <w:tr w:rsidR="002245F0" w:rsidTr="002245F0">
        <w:tc>
          <w:tcPr>
            <w:tcW w:w="918" w:type="dxa"/>
          </w:tcPr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Sr</w:t>
            </w:r>
            <w:proofErr w:type="spellEnd"/>
            <w:r>
              <w:rPr>
                <w:sz w:val="24"/>
                <w:szCs w:val="24"/>
              </w:rPr>
              <w:t xml:space="preserve"> #</w:t>
            </w:r>
          </w:p>
        </w:tc>
        <w:tc>
          <w:tcPr>
            <w:tcW w:w="5580" w:type="dxa"/>
          </w:tcPr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</w:t>
            </w:r>
          </w:p>
        </w:tc>
        <w:tc>
          <w:tcPr>
            <w:tcW w:w="2970" w:type="dxa"/>
          </w:tcPr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Requirement</w:t>
            </w:r>
          </w:p>
        </w:tc>
      </w:tr>
      <w:tr w:rsidR="002245F0" w:rsidTr="002245F0">
        <w:tc>
          <w:tcPr>
            <w:tcW w:w="918" w:type="dxa"/>
          </w:tcPr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80" w:type="dxa"/>
          </w:tcPr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Eligibility:</w:t>
            </w:r>
          </w:p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 Registration with Pakistan Engineering Council in relevant category and discipline</w:t>
            </w:r>
          </w:p>
          <w:p w:rsidR="000D7F96" w:rsidRDefault="000D7F96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</w:p>
          <w:p w:rsidR="000D7F96" w:rsidRDefault="000D7F96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Registered with </w:t>
            </w:r>
            <w:proofErr w:type="spellStart"/>
            <w:r>
              <w:rPr>
                <w:sz w:val="24"/>
                <w:szCs w:val="24"/>
              </w:rPr>
              <w:t>Sindh</w:t>
            </w:r>
            <w:proofErr w:type="spellEnd"/>
            <w:r>
              <w:rPr>
                <w:sz w:val="24"/>
                <w:szCs w:val="24"/>
              </w:rPr>
              <w:t xml:space="preserve"> Revenue Board</w:t>
            </w:r>
            <w:r w:rsidR="007D1141">
              <w:rPr>
                <w:sz w:val="24"/>
                <w:szCs w:val="24"/>
              </w:rPr>
              <w:t xml:space="preserve"> (SRB)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:rsidR="002245F0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Category C-4</w:t>
            </w:r>
            <w:r w:rsidR="002245F0">
              <w:rPr>
                <w:sz w:val="24"/>
                <w:szCs w:val="24"/>
              </w:rPr>
              <w:t xml:space="preserve"> and above. Discipline </w:t>
            </w:r>
            <w:r w:rsidR="00E6369A">
              <w:rPr>
                <w:sz w:val="24"/>
                <w:szCs w:val="24"/>
              </w:rPr>
              <w:t xml:space="preserve"> CE-04</w:t>
            </w:r>
            <w:r w:rsidR="002245F0">
              <w:rPr>
                <w:sz w:val="24"/>
                <w:szCs w:val="24"/>
              </w:rPr>
              <w:t xml:space="preserve"> and  CE-10</w:t>
            </w:r>
          </w:p>
        </w:tc>
      </w:tr>
      <w:tr w:rsidR="002245F0" w:rsidTr="002245F0">
        <w:tc>
          <w:tcPr>
            <w:tcW w:w="918" w:type="dxa"/>
          </w:tcPr>
          <w:p w:rsidR="002245F0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80" w:type="dxa"/>
          </w:tcPr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Qualification</w:t>
            </w:r>
          </w:p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Similar assignments with cost (two similar projects), under taken over in the past three (03) years;</w:t>
            </w:r>
          </w:p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 of above two contracts, one should be in </w:t>
            </w:r>
            <w:proofErr w:type="spellStart"/>
            <w:r>
              <w:rPr>
                <w:sz w:val="24"/>
                <w:szCs w:val="24"/>
              </w:rPr>
              <w:t>Sindh</w:t>
            </w:r>
            <w:proofErr w:type="spellEnd"/>
            <w:r>
              <w:rPr>
                <w:sz w:val="24"/>
                <w:szCs w:val="24"/>
              </w:rPr>
              <w:t xml:space="preserve"> Province</w:t>
            </w:r>
          </w:p>
        </w:tc>
        <w:tc>
          <w:tcPr>
            <w:tcW w:w="2970" w:type="dxa"/>
          </w:tcPr>
          <w:p w:rsidR="002245F0" w:rsidRDefault="000D7F96" w:rsidP="00B37531">
            <w:pPr>
              <w:pStyle w:val="NoSpacing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200</w:t>
            </w:r>
            <w:r w:rsidR="002245F0">
              <w:rPr>
                <w:sz w:val="24"/>
                <w:szCs w:val="24"/>
              </w:rPr>
              <w:t xml:space="preserve"> Million</w:t>
            </w:r>
          </w:p>
        </w:tc>
      </w:tr>
      <w:tr w:rsidR="002245F0" w:rsidTr="002245F0">
        <w:tc>
          <w:tcPr>
            <w:tcW w:w="918" w:type="dxa"/>
          </w:tcPr>
          <w:p w:rsidR="002245F0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80" w:type="dxa"/>
          </w:tcPr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Annual Turnover Construction</w:t>
            </w:r>
          </w:p>
        </w:tc>
        <w:tc>
          <w:tcPr>
            <w:tcW w:w="2970" w:type="dxa"/>
          </w:tcPr>
          <w:p w:rsidR="002245F0" w:rsidRDefault="00D83D7D" w:rsidP="00B37531">
            <w:pPr>
              <w:pStyle w:val="NoSpacing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300</w:t>
            </w:r>
            <w:r w:rsidR="002245F0">
              <w:rPr>
                <w:sz w:val="24"/>
                <w:szCs w:val="24"/>
              </w:rPr>
              <w:t xml:space="preserve"> Million</w:t>
            </w:r>
          </w:p>
        </w:tc>
      </w:tr>
      <w:tr w:rsidR="002245F0" w:rsidTr="002245F0">
        <w:tc>
          <w:tcPr>
            <w:tcW w:w="918" w:type="dxa"/>
          </w:tcPr>
          <w:p w:rsidR="002245F0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80" w:type="dxa"/>
          </w:tcPr>
          <w:p w:rsidR="002245F0" w:rsidRDefault="002245F0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Average Net worth</w:t>
            </w:r>
          </w:p>
        </w:tc>
        <w:tc>
          <w:tcPr>
            <w:tcW w:w="2970" w:type="dxa"/>
          </w:tcPr>
          <w:p w:rsidR="002245F0" w:rsidRDefault="002245F0" w:rsidP="00B37531">
            <w:pPr>
              <w:pStyle w:val="NoSpacing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Rs. </w:t>
            </w:r>
            <w:r w:rsidR="00D83D7D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 xml:space="preserve"> Million</w:t>
            </w:r>
          </w:p>
        </w:tc>
      </w:tr>
      <w:tr w:rsidR="002245F0" w:rsidTr="002245F0">
        <w:tc>
          <w:tcPr>
            <w:tcW w:w="918" w:type="dxa"/>
          </w:tcPr>
          <w:p w:rsidR="002245F0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580" w:type="dxa"/>
          </w:tcPr>
          <w:p w:rsidR="002245F0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Average Networking Capital</w:t>
            </w:r>
          </w:p>
          <w:p w:rsidR="00D83D7D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(Submit Audit Reports with Financial Statement for last 3 years)</w:t>
            </w:r>
            <w:r w:rsidR="00C613E1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970" w:type="dxa"/>
          </w:tcPr>
          <w:p w:rsidR="002245F0" w:rsidRDefault="00D83D7D" w:rsidP="00B37531">
            <w:pPr>
              <w:pStyle w:val="NoSpacing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30 Million</w:t>
            </w:r>
          </w:p>
        </w:tc>
      </w:tr>
      <w:tr w:rsidR="00D83D7D" w:rsidTr="002245F0">
        <w:tc>
          <w:tcPr>
            <w:tcW w:w="918" w:type="dxa"/>
          </w:tcPr>
          <w:p w:rsidR="00D83D7D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580" w:type="dxa"/>
          </w:tcPr>
          <w:p w:rsidR="00D83D7D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Income Tax Return for last three (03) years</w:t>
            </w:r>
          </w:p>
        </w:tc>
        <w:tc>
          <w:tcPr>
            <w:tcW w:w="2970" w:type="dxa"/>
          </w:tcPr>
          <w:p w:rsidR="00D83D7D" w:rsidRDefault="00D83D7D" w:rsidP="00B37531">
            <w:pPr>
              <w:pStyle w:val="NoSpacing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meet</w:t>
            </w:r>
          </w:p>
        </w:tc>
      </w:tr>
      <w:tr w:rsidR="00D83D7D" w:rsidTr="002245F0">
        <w:tc>
          <w:tcPr>
            <w:tcW w:w="918" w:type="dxa"/>
          </w:tcPr>
          <w:p w:rsidR="00D83D7D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580" w:type="dxa"/>
          </w:tcPr>
          <w:p w:rsidR="00D83D7D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of Litigation (if any) their nature and status / outcomes.</w:t>
            </w:r>
          </w:p>
        </w:tc>
        <w:tc>
          <w:tcPr>
            <w:tcW w:w="2970" w:type="dxa"/>
          </w:tcPr>
          <w:p w:rsidR="00D83D7D" w:rsidRDefault="00D83D7D" w:rsidP="00B37531">
            <w:pPr>
              <w:pStyle w:val="NoSpacing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meet</w:t>
            </w:r>
          </w:p>
        </w:tc>
      </w:tr>
      <w:tr w:rsidR="00D83D7D" w:rsidTr="002245F0">
        <w:tc>
          <w:tcPr>
            <w:tcW w:w="918" w:type="dxa"/>
          </w:tcPr>
          <w:p w:rsidR="00D83D7D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580" w:type="dxa"/>
          </w:tcPr>
          <w:p w:rsidR="00D83D7D" w:rsidRDefault="00D83D7D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Affidavit that firm has never been black listed.</w:t>
            </w:r>
          </w:p>
        </w:tc>
        <w:tc>
          <w:tcPr>
            <w:tcW w:w="2970" w:type="dxa"/>
          </w:tcPr>
          <w:p w:rsidR="00D83D7D" w:rsidRDefault="00D83D7D" w:rsidP="00B37531">
            <w:pPr>
              <w:pStyle w:val="NoSpacing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meet</w:t>
            </w:r>
          </w:p>
        </w:tc>
      </w:tr>
      <w:tr w:rsidR="001854B6" w:rsidTr="002245F0">
        <w:tc>
          <w:tcPr>
            <w:tcW w:w="918" w:type="dxa"/>
          </w:tcPr>
          <w:p w:rsidR="001854B6" w:rsidRDefault="001854B6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80" w:type="dxa"/>
          </w:tcPr>
          <w:p w:rsidR="001854B6" w:rsidRDefault="001854B6" w:rsidP="00B37531">
            <w:pPr>
              <w:pStyle w:val="NoSpacing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of available machinery, equipment and staff.</w:t>
            </w:r>
          </w:p>
        </w:tc>
        <w:tc>
          <w:tcPr>
            <w:tcW w:w="2970" w:type="dxa"/>
          </w:tcPr>
          <w:p w:rsidR="001854B6" w:rsidRDefault="001854B6" w:rsidP="00B37531">
            <w:pPr>
              <w:pStyle w:val="NoSpacing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meet</w:t>
            </w:r>
          </w:p>
        </w:tc>
      </w:tr>
    </w:tbl>
    <w:p w:rsidR="002245F0" w:rsidRDefault="002245F0" w:rsidP="00B37531">
      <w:pPr>
        <w:pStyle w:val="NoSpacing"/>
        <w:spacing w:line="276" w:lineRule="auto"/>
        <w:jc w:val="both"/>
        <w:rPr>
          <w:sz w:val="24"/>
          <w:szCs w:val="24"/>
        </w:rPr>
      </w:pPr>
    </w:p>
    <w:p w:rsidR="001854B6" w:rsidRDefault="001854B6" w:rsidP="00B37531">
      <w:pPr>
        <w:pStyle w:val="NoSpacing"/>
        <w:spacing w:line="276" w:lineRule="auto"/>
        <w:jc w:val="both"/>
        <w:rPr>
          <w:sz w:val="24"/>
          <w:szCs w:val="24"/>
        </w:rPr>
      </w:pPr>
    </w:p>
    <w:p w:rsidR="00D83D7D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Method of Procurement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Single Stage Single Envelope</w:t>
      </w: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Procuring Agency invites sealed bids from eligible bidders meeting the qualification criteria stated in Para – 2 above for the work stated in Para – 1 above.</w:t>
      </w: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Bidders may obtain information by acquiring bidding documents (BD) from the office of the Executive Engineer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Begari</w:t>
      </w:r>
      <w:proofErr w:type="spellEnd"/>
      <w:r>
        <w:rPr>
          <w:sz w:val="24"/>
          <w:szCs w:val="24"/>
        </w:rPr>
        <w:t xml:space="preserve"> Bund Division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upto</w:t>
      </w:r>
      <w:proofErr w:type="spellEnd"/>
      <w:r>
        <w:rPr>
          <w:sz w:val="24"/>
          <w:szCs w:val="24"/>
        </w:rPr>
        <w:t xml:space="preserve"> </w:t>
      </w:r>
      <w:r w:rsidR="006101A2">
        <w:rPr>
          <w:sz w:val="24"/>
          <w:szCs w:val="24"/>
        </w:rPr>
        <w:t>25</w:t>
      </w:r>
      <w:r>
        <w:rPr>
          <w:sz w:val="24"/>
          <w:szCs w:val="24"/>
        </w:rPr>
        <w:t>.04.2016 during office hours at following address:</w:t>
      </w: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Executive Engineer </w:t>
      </w: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Sukkuru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Begari</w:t>
      </w:r>
      <w:proofErr w:type="spellEnd"/>
      <w:r>
        <w:rPr>
          <w:sz w:val="24"/>
          <w:szCs w:val="24"/>
        </w:rPr>
        <w:t xml:space="preserve"> Bund Division</w:t>
      </w: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Barrage Colony </w:t>
      </w:r>
      <w:proofErr w:type="spellStart"/>
      <w:r>
        <w:rPr>
          <w:sz w:val="24"/>
          <w:szCs w:val="24"/>
        </w:rPr>
        <w:t>Sukkur</w:t>
      </w:r>
      <w:proofErr w:type="spellEnd"/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Tel: 071-9310200</w:t>
      </w: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A complete set of BD may be purchased by interested bidders on submission of a written application to the above office and upon payment of non refundable fee of Rs. 5000/- in the shape of pay order or demand draft in the name of Executive Engineer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Begari</w:t>
      </w:r>
      <w:proofErr w:type="spellEnd"/>
      <w:r>
        <w:rPr>
          <w:sz w:val="24"/>
          <w:szCs w:val="24"/>
        </w:rPr>
        <w:t xml:space="preserve"> Bund Division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>.</w:t>
      </w: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7. All bids must be delivered to above office at or before 1300 hours on 2</w:t>
      </w:r>
      <w:r w:rsidR="006101A2">
        <w:rPr>
          <w:sz w:val="24"/>
          <w:szCs w:val="24"/>
        </w:rPr>
        <w:t>6</w:t>
      </w:r>
      <w:r>
        <w:rPr>
          <w:sz w:val="24"/>
          <w:szCs w:val="24"/>
        </w:rPr>
        <w:t>.04.2016. Bids will be opened on 1400 hours on the same day in the presence of bidder’s representatives who choose to attend at the address stated in Para-5 above.</w:t>
      </w: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</w:p>
    <w:p w:rsidR="00C613E1" w:rsidRDefault="00C613E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8. The bids of these bidders will not be accepted / entertained in case they do not qualify the qualification criteria as mentioned above.</w:t>
      </w:r>
    </w:p>
    <w:p w:rsidR="00C613E1" w:rsidRDefault="00D86D27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9. Terms &amp; Condition:</w:t>
      </w:r>
    </w:p>
    <w:p w:rsidR="00D86D27" w:rsidRDefault="00D86D27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a. Under following conditions bid will be rejected.</w:t>
      </w:r>
    </w:p>
    <w:p w:rsidR="00D86D27" w:rsidRDefault="00D86D27" w:rsidP="00B37531">
      <w:pPr>
        <w:pStyle w:val="NoSpacing"/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. Conditional, electronic and telegraphic bids / tenders.</w:t>
      </w:r>
    </w:p>
    <w:p w:rsidR="00D86D27" w:rsidRDefault="00D86D27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 </w:t>
      </w:r>
      <w:r w:rsidR="00B37531">
        <w:rPr>
          <w:sz w:val="24"/>
          <w:szCs w:val="24"/>
        </w:rPr>
        <w:t>Bids not meeting the above stated qualification criteria.</w:t>
      </w:r>
    </w:p>
    <w:p w:rsidR="00B37531" w:rsidRDefault="00B3753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iii. Bids received after specified date and time.</w:t>
      </w:r>
    </w:p>
    <w:p w:rsidR="00B37531" w:rsidRDefault="00B3753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iv. Black listed firms.</w:t>
      </w:r>
    </w:p>
    <w:p w:rsidR="00B37531" w:rsidRDefault="00B3753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b. Bid validity period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 xml:space="preserve"> 90 days.</w:t>
      </w:r>
    </w:p>
    <w:p w:rsidR="00B37531" w:rsidRDefault="00B3753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c. Only those bidders who will qualify the technical bids will be entertained for financial bids.</w:t>
      </w:r>
    </w:p>
    <w:p w:rsidR="00B37531" w:rsidRDefault="00B37531" w:rsidP="00B37531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Procuring agency reserves the right to reject all or any bid subject to the relevant provisions of </w:t>
      </w:r>
      <w:proofErr w:type="spellStart"/>
      <w:r>
        <w:rPr>
          <w:sz w:val="24"/>
          <w:szCs w:val="24"/>
        </w:rPr>
        <w:t>Sindh</w:t>
      </w:r>
      <w:proofErr w:type="spellEnd"/>
      <w:r>
        <w:rPr>
          <w:sz w:val="24"/>
          <w:szCs w:val="24"/>
        </w:rPr>
        <w:t xml:space="preserve"> Public Procurement Rules 2010.</w:t>
      </w:r>
    </w:p>
    <w:p w:rsidR="00B37531" w:rsidRDefault="00B37531" w:rsidP="00B37531">
      <w:pPr>
        <w:pStyle w:val="NoSpacing"/>
        <w:jc w:val="both"/>
        <w:rPr>
          <w:sz w:val="24"/>
          <w:szCs w:val="24"/>
        </w:rPr>
      </w:pPr>
    </w:p>
    <w:p w:rsidR="00B37531" w:rsidRPr="00B37531" w:rsidRDefault="00B37531" w:rsidP="00B37531">
      <w:pPr>
        <w:pStyle w:val="NoSpacing"/>
        <w:ind w:left="5760"/>
        <w:jc w:val="center"/>
        <w:rPr>
          <w:b/>
          <w:sz w:val="24"/>
          <w:szCs w:val="24"/>
        </w:rPr>
      </w:pPr>
      <w:r w:rsidRPr="00B37531">
        <w:rPr>
          <w:b/>
          <w:sz w:val="24"/>
          <w:szCs w:val="24"/>
        </w:rPr>
        <w:t>EXECUTIVE ENGINEER</w:t>
      </w:r>
    </w:p>
    <w:p w:rsidR="00B37531" w:rsidRPr="00B37531" w:rsidRDefault="00B37531" w:rsidP="00B37531">
      <w:pPr>
        <w:pStyle w:val="NoSpacing"/>
        <w:ind w:left="5760"/>
        <w:jc w:val="center"/>
        <w:rPr>
          <w:b/>
          <w:sz w:val="24"/>
          <w:szCs w:val="24"/>
        </w:rPr>
      </w:pPr>
      <w:r w:rsidRPr="00B37531">
        <w:rPr>
          <w:b/>
          <w:sz w:val="24"/>
          <w:szCs w:val="24"/>
        </w:rPr>
        <w:t>SUKKUR BEGARI BUND DIVISION</w:t>
      </w:r>
    </w:p>
    <w:p w:rsidR="00C613E1" w:rsidRPr="00481B2D" w:rsidRDefault="00B37531" w:rsidP="00DB5052">
      <w:pPr>
        <w:pStyle w:val="NoSpacing"/>
        <w:ind w:left="5760"/>
        <w:jc w:val="center"/>
        <w:rPr>
          <w:sz w:val="24"/>
          <w:szCs w:val="24"/>
        </w:rPr>
      </w:pPr>
      <w:r w:rsidRPr="00B37531">
        <w:rPr>
          <w:b/>
          <w:sz w:val="24"/>
          <w:szCs w:val="24"/>
        </w:rPr>
        <w:t>SUKKUR</w:t>
      </w:r>
    </w:p>
    <w:sectPr w:rsidR="00C613E1" w:rsidRPr="00481B2D" w:rsidSect="006C3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481B2D"/>
    <w:rsid w:val="000D7F96"/>
    <w:rsid w:val="00100D3A"/>
    <w:rsid w:val="001854B6"/>
    <w:rsid w:val="002245F0"/>
    <w:rsid w:val="00271183"/>
    <w:rsid w:val="002A7C55"/>
    <w:rsid w:val="00481B2D"/>
    <w:rsid w:val="005E0EF6"/>
    <w:rsid w:val="005F655E"/>
    <w:rsid w:val="006101A2"/>
    <w:rsid w:val="006C3DA2"/>
    <w:rsid w:val="00710053"/>
    <w:rsid w:val="007D1141"/>
    <w:rsid w:val="007F7050"/>
    <w:rsid w:val="00837181"/>
    <w:rsid w:val="0085136C"/>
    <w:rsid w:val="0089446E"/>
    <w:rsid w:val="008A272D"/>
    <w:rsid w:val="009025C2"/>
    <w:rsid w:val="00A24820"/>
    <w:rsid w:val="00B37531"/>
    <w:rsid w:val="00C613E1"/>
    <w:rsid w:val="00C96AB9"/>
    <w:rsid w:val="00D3796B"/>
    <w:rsid w:val="00D83D7D"/>
    <w:rsid w:val="00D86D27"/>
    <w:rsid w:val="00DB5052"/>
    <w:rsid w:val="00E6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1B2D"/>
    <w:pPr>
      <w:spacing w:after="0" w:line="240" w:lineRule="auto"/>
    </w:pPr>
  </w:style>
  <w:style w:type="table" w:styleId="TableGrid">
    <w:name w:val="Table Grid"/>
    <w:basedOn w:val="TableNormal"/>
    <w:uiPriority w:val="59"/>
    <w:rsid w:val="002245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2016-04-04T13:07:00Z</cp:lastPrinted>
  <dcterms:created xsi:type="dcterms:W3CDTF">2016-04-04T13:16:00Z</dcterms:created>
  <dcterms:modified xsi:type="dcterms:W3CDTF">2016-04-05T10:50:00Z</dcterms:modified>
</cp:coreProperties>
</file>