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B20733">
        <w:rPr>
          <w:rFonts w:ascii="Arial Black" w:hAnsi="Arial Black" w:cs="Courier New"/>
          <w:b/>
          <w:color w:val="000000" w:themeColor="text1"/>
          <w:sz w:val="32"/>
          <w:u w:val="single"/>
        </w:rPr>
        <w:t xml:space="preserve">IN VILLAGE </w:t>
      </w:r>
      <w:r w:rsidR="0077647B">
        <w:rPr>
          <w:rFonts w:ascii="Arial Black" w:hAnsi="Arial Black" w:cs="Courier New"/>
          <w:b/>
          <w:color w:val="000000" w:themeColor="text1"/>
          <w:sz w:val="32"/>
          <w:u w:val="single"/>
        </w:rPr>
        <w:t xml:space="preserve">MIRZAPUR MOHALLA U/C -02 TALUKA </w:t>
      </w:r>
      <w:r w:rsidR="00150545">
        <w:rPr>
          <w:rFonts w:ascii="Arial Black" w:hAnsi="Arial Black" w:cs="Courier New"/>
          <w:b/>
          <w:color w:val="000000" w:themeColor="text1"/>
          <w:sz w:val="32"/>
          <w:u w:val="single"/>
        </w:rPr>
        <w:t>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150545">
        <w:rPr>
          <w:rFonts w:ascii="Arial Black" w:hAnsi="Arial Black" w:cs="Courier New"/>
          <w:b/>
          <w:color w:val="002060"/>
          <w:sz w:val="34"/>
        </w:rPr>
        <w:t>0</w:t>
      </w:r>
      <w:r w:rsidR="00684D8E">
        <w:rPr>
          <w:rFonts w:ascii="Arial Black" w:hAnsi="Arial Black" w:cs="Courier New"/>
          <w:b/>
          <w:color w:val="002060"/>
          <w:sz w:val="34"/>
        </w:rPr>
        <w:t>.</w:t>
      </w:r>
      <w:r w:rsidR="00B20733">
        <w:rPr>
          <w:rFonts w:ascii="Arial Black" w:hAnsi="Arial Black" w:cs="Courier New"/>
          <w:b/>
          <w:color w:val="002060"/>
          <w:sz w:val="34"/>
        </w:rPr>
        <w:t>5</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B51185">
      <w:pPr>
        <w:widowControl w:val="0"/>
        <w:autoSpaceDE w:val="0"/>
        <w:autoSpaceDN w:val="0"/>
        <w:adjustRightInd w:val="0"/>
        <w:spacing w:after="0" w:line="200" w:lineRule="exact"/>
        <w:rPr>
          <w:rFonts w:ascii="Times New Roman" w:hAnsi="Times New Roman" w:cs="Times New Roman"/>
          <w:sz w:val="24"/>
          <w:szCs w:val="24"/>
        </w:rPr>
      </w:pPr>
      <w:r w:rsidRPr="00B51185">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B51185">
      <w:pPr>
        <w:widowControl w:val="0"/>
        <w:autoSpaceDE w:val="0"/>
        <w:autoSpaceDN w:val="0"/>
        <w:adjustRightInd w:val="0"/>
        <w:spacing w:after="0" w:line="20" w:lineRule="exact"/>
        <w:rPr>
          <w:rFonts w:ascii="Times New Roman" w:hAnsi="Times New Roman" w:cs="Times New Roman"/>
          <w:sz w:val="24"/>
          <w:szCs w:val="24"/>
        </w:rPr>
      </w:pPr>
      <w:r w:rsidRPr="00B51185">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203920" w:rsidP="000B5685">
            <w:pPr>
              <w:jc w:val="center"/>
              <w:rPr>
                <w:rFonts w:ascii="Times New Roman" w:hAnsi="Times New Roman" w:cs="Times New Roman"/>
                <w:b/>
                <w:sz w:val="16"/>
                <w:szCs w:val="16"/>
              </w:rPr>
            </w:pPr>
            <w:r>
              <w:rPr>
                <w:rFonts w:ascii="Times New Roman" w:hAnsi="Times New Roman" w:cs="Times New Roman"/>
                <w:b/>
                <w:sz w:val="16"/>
                <w:szCs w:val="16"/>
              </w:rPr>
              <w:t>89.25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20392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1428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471.26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714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297.5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jc w:val="center"/>
              <w:rPr>
                <w:rFonts w:ascii="Times New Roman" w:hAnsi="Times New Roman" w:cs="Times New Roman"/>
                <w:b/>
                <w:sz w:val="16"/>
                <w:szCs w:val="16"/>
              </w:rPr>
            </w:pPr>
            <w:r>
              <w:rPr>
                <w:rFonts w:ascii="Times New Roman" w:hAnsi="Times New Roman" w:cs="Times New Roman"/>
                <w:b/>
                <w:sz w:val="16"/>
                <w:szCs w:val="16"/>
              </w:rPr>
              <w:t>1428</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B51185">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B51185" w:rsidP="009B4041">
            <w:pPr>
              <w:widowControl w:val="0"/>
              <w:autoSpaceDE w:val="0"/>
              <w:autoSpaceDN w:val="0"/>
              <w:adjustRightInd w:val="0"/>
              <w:spacing w:after="0" w:line="240" w:lineRule="auto"/>
              <w:jc w:val="right"/>
              <w:rPr>
                <w:rFonts w:ascii="Times New Roman" w:hAnsi="Times New Roman" w:cs="Times New Roman"/>
                <w:sz w:val="24"/>
                <w:szCs w:val="24"/>
              </w:rPr>
            </w:pPr>
            <w:r w:rsidRPr="00B51185">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E0B48"/>
    <w:rsid w:val="00125AEE"/>
    <w:rsid w:val="00146C87"/>
    <w:rsid w:val="00150545"/>
    <w:rsid w:val="001811F2"/>
    <w:rsid w:val="001E435F"/>
    <w:rsid w:val="001F6133"/>
    <w:rsid w:val="00203920"/>
    <w:rsid w:val="002829D9"/>
    <w:rsid w:val="00284FDF"/>
    <w:rsid w:val="002866E7"/>
    <w:rsid w:val="002C1551"/>
    <w:rsid w:val="003022E9"/>
    <w:rsid w:val="003231B5"/>
    <w:rsid w:val="003576E0"/>
    <w:rsid w:val="003C1B2F"/>
    <w:rsid w:val="003D16BF"/>
    <w:rsid w:val="004F01CA"/>
    <w:rsid w:val="005174A3"/>
    <w:rsid w:val="00570222"/>
    <w:rsid w:val="005747CC"/>
    <w:rsid w:val="00575472"/>
    <w:rsid w:val="005F23EA"/>
    <w:rsid w:val="0061210A"/>
    <w:rsid w:val="006618DD"/>
    <w:rsid w:val="00674267"/>
    <w:rsid w:val="006825D2"/>
    <w:rsid w:val="006845D2"/>
    <w:rsid w:val="00684D8E"/>
    <w:rsid w:val="0075032A"/>
    <w:rsid w:val="0077647B"/>
    <w:rsid w:val="00787AAB"/>
    <w:rsid w:val="00790C16"/>
    <w:rsid w:val="007A5EA0"/>
    <w:rsid w:val="007B2BCA"/>
    <w:rsid w:val="007F0F2B"/>
    <w:rsid w:val="00870D08"/>
    <w:rsid w:val="008928AC"/>
    <w:rsid w:val="008C308E"/>
    <w:rsid w:val="009A53F6"/>
    <w:rsid w:val="009A6160"/>
    <w:rsid w:val="009B3B86"/>
    <w:rsid w:val="009B4041"/>
    <w:rsid w:val="009D7B25"/>
    <w:rsid w:val="00A072C6"/>
    <w:rsid w:val="00A107D3"/>
    <w:rsid w:val="00A31786"/>
    <w:rsid w:val="00A95E16"/>
    <w:rsid w:val="00AD1EC7"/>
    <w:rsid w:val="00AF4285"/>
    <w:rsid w:val="00B20733"/>
    <w:rsid w:val="00B25C29"/>
    <w:rsid w:val="00B51185"/>
    <w:rsid w:val="00B5130E"/>
    <w:rsid w:val="00B65389"/>
    <w:rsid w:val="00BC33DB"/>
    <w:rsid w:val="00C03FB2"/>
    <w:rsid w:val="00CA53A2"/>
    <w:rsid w:val="00CC2CCF"/>
    <w:rsid w:val="00CD4555"/>
    <w:rsid w:val="00CF7A4C"/>
    <w:rsid w:val="00D15910"/>
    <w:rsid w:val="00D94827"/>
    <w:rsid w:val="00DF2B72"/>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32</Pages>
  <Words>8089</Words>
  <Characters>44901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34</cp:revision>
  <cp:lastPrinted>2015-03-04T14:26:00Z</cp:lastPrinted>
  <dcterms:created xsi:type="dcterms:W3CDTF">2015-03-04T13:54:00Z</dcterms:created>
  <dcterms:modified xsi:type="dcterms:W3CDTF">2016-03-13T19:22:00Z</dcterms:modified>
</cp:coreProperties>
</file>