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F0256">
        <w:rPr>
          <w:rFonts w:ascii="Arial Black" w:hAnsi="Arial Black" w:cs="Courier New"/>
          <w:b/>
          <w:color w:val="000000" w:themeColor="text1"/>
          <w:sz w:val="32"/>
          <w:u w:val="single"/>
        </w:rPr>
        <w:t xml:space="preserve">FROM KANDHKOT SHAKH TO VILLAGE GHULAM MUSTAFA BANGWAR DEH MACHKO </w:t>
      </w:r>
      <w:r w:rsidR="00150545">
        <w:rPr>
          <w:rFonts w:ascii="Arial Black" w:hAnsi="Arial Black" w:cs="Courier New"/>
          <w:b/>
          <w:color w:val="000000" w:themeColor="text1"/>
          <w:sz w:val="32"/>
          <w:u w:val="single"/>
        </w:rPr>
        <w:t>TAULKA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B20733">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BE420A">
      <w:pPr>
        <w:widowControl w:val="0"/>
        <w:autoSpaceDE w:val="0"/>
        <w:autoSpaceDN w:val="0"/>
        <w:adjustRightInd w:val="0"/>
        <w:spacing w:after="0" w:line="200" w:lineRule="exact"/>
        <w:rPr>
          <w:rFonts w:ascii="Times New Roman" w:hAnsi="Times New Roman" w:cs="Times New Roman"/>
          <w:sz w:val="24"/>
          <w:szCs w:val="24"/>
        </w:rPr>
      </w:pPr>
      <w:r w:rsidRPr="00BE420A">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BE420A">
      <w:pPr>
        <w:widowControl w:val="0"/>
        <w:autoSpaceDE w:val="0"/>
        <w:autoSpaceDN w:val="0"/>
        <w:adjustRightInd w:val="0"/>
        <w:spacing w:after="0" w:line="20" w:lineRule="exact"/>
        <w:rPr>
          <w:rFonts w:ascii="Times New Roman" w:hAnsi="Times New Roman" w:cs="Times New Roman"/>
          <w:sz w:val="24"/>
          <w:szCs w:val="24"/>
        </w:rPr>
      </w:pPr>
      <w:r w:rsidRPr="00BE420A">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89.25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471.26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203920" w:rsidP="000B5685">
            <w:pPr>
              <w:jc w:val="center"/>
              <w:rPr>
                <w:rFonts w:ascii="Times New Roman" w:hAnsi="Times New Roman" w:cs="Times New Roman"/>
                <w:b/>
                <w:sz w:val="16"/>
                <w:szCs w:val="16"/>
              </w:rPr>
            </w:pPr>
            <w:r>
              <w:rPr>
                <w:rFonts w:ascii="Times New Roman" w:hAnsi="Times New Roman" w:cs="Times New Roman"/>
                <w:b/>
                <w:sz w:val="16"/>
                <w:szCs w:val="16"/>
              </w:rPr>
              <w:t>1428</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BE420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BE420A" w:rsidP="009B4041">
            <w:pPr>
              <w:widowControl w:val="0"/>
              <w:autoSpaceDE w:val="0"/>
              <w:autoSpaceDN w:val="0"/>
              <w:adjustRightInd w:val="0"/>
              <w:spacing w:after="0" w:line="240" w:lineRule="auto"/>
              <w:jc w:val="right"/>
              <w:rPr>
                <w:rFonts w:ascii="Times New Roman" w:hAnsi="Times New Roman" w:cs="Times New Roman"/>
                <w:sz w:val="24"/>
                <w:szCs w:val="24"/>
              </w:rPr>
            </w:pPr>
            <w:r w:rsidRPr="00BE420A">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2F0256"/>
    <w:rsid w:val="003022E9"/>
    <w:rsid w:val="003231B5"/>
    <w:rsid w:val="003576E0"/>
    <w:rsid w:val="003C1B2F"/>
    <w:rsid w:val="003D16BF"/>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BE420A"/>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32</Pages>
  <Words>8093</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34</cp:revision>
  <cp:lastPrinted>2015-03-04T14:26:00Z</cp:lastPrinted>
  <dcterms:created xsi:type="dcterms:W3CDTF">2015-03-04T13:54:00Z</dcterms:created>
  <dcterms:modified xsi:type="dcterms:W3CDTF">2016-03-13T19:10:00Z</dcterms:modified>
</cp:coreProperties>
</file>