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1508" w:tblpY="-719"/>
        <w:tblW w:w="9780" w:type="dxa"/>
        <w:tblLook w:val="01E0" w:firstRow="1" w:lastRow="1" w:firstColumn="1" w:lastColumn="1" w:noHBand="0" w:noVBand="0"/>
      </w:tblPr>
      <w:tblGrid>
        <w:gridCol w:w="1908"/>
        <w:gridCol w:w="7872"/>
      </w:tblGrid>
      <w:tr w:rsidR="003B2414" w:rsidTr="005511B2">
        <w:trPr>
          <w:trHeight w:val="2062"/>
        </w:trPr>
        <w:tc>
          <w:tcPr>
            <w:tcW w:w="1908" w:type="dxa"/>
          </w:tcPr>
          <w:p w:rsidR="003B2414" w:rsidRDefault="003B2414" w:rsidP="005511B2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104140</wp:posOffset>
                      </wp:positionH>
                      <wp:positionV relativeFrom="paragraph">
                        <wp:posOffset>24130</wp:posOffset>
                      </wp:positionV>
                      <wp:extent cx="1021715" cy="1043940"/>
                      <wp:effectExtent l="0" t="0" r="6985" b="3810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1715" cy="10439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B2414" w:rsidRPr="00F04F66" w:rsidRDefault="003B2414" w:rsidP="003B2414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1E1D2EBD" wp14:editId="6096CB45">
                                        <wp:extent cx="828675" cy="942975"/>
                                        <wp:effectExtent l="0" t="0" r="9525" b="9525"/>
                                        <wp:docPr id="4" name="Picture 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7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828675" cy="9429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8.2pt;margin-top:1.9pt;width:80.45pt;height:82.2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" stroked="f">
                      <v:textbox style="mso-fit-shape-to-text:t">
                        <w:txbxContent>
                          <w:p w:rsidR="003B2414" w:rsidRPr="00F04F66" w:rsidRDefault="003B2414" w:rsidP="003B241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E1D2EBD" wp14:editId="6096CB45">
                                  <wp:extent cx="828675" cy="942975"/>
                                  <wp:effectExtent l="0" t="0" r="9525" b="9525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28675" cy="9429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B2124">
              <w:t>d</w:t>
            </w:r>
            <w:bookmarkStart w:id="0" w:name="_GoBack"/>
            <w:bookmarkEnd w:id="0"/>
          </w:p>
          <w:p w:rsidR="003B2414" w:rsidRDefault="003B2414" w:rsidP="005511B2"/>
          <w:p w:rsidR="003B2414" w:rsidRDefault="003B2414" w:rsidP="005511B2"/>
          <w:p w:rsidR="003B2414" w:rsidRDefault="003B2414" w:rsidP="005511B2"/>
          <w:p w:rsidR="003B2414" w:rsidRDefault="003B2414" w:rsidP="005511B2"/>
          <w:p w:rsidR="003B2414" w:rsidRDefault="003B2414" w:rsidP="005511B2"/>
          <w:p w:rsidR="003B2414" w:rsidRPr="007437BE" w:rsidRDefault="003B2414" w:rsidP="005511B2">
            <w:pPr>
              <w:rPr>
                <w:b/>
                <w:sz w:val="10"/>
              </w:rPr>
            </w:pPr>
          </w:p>
          <w:p w:rsidR="003B2414" w:rsidRDefault="003B2414" w:rsidP="003B2414">
            <w:r>
              <w:rPr>
                <w:b/>
              </w:rPr>
              <w:t xml:space="preserve">      </w:t>
            </w:r>
          </w:p>
        </w:tc>
        <w:tc>
          <w:tcPr>
            <w:tcW w:w="7872" w:type="dxa"/>
            <w:vAlign w:val="center"/>
          </w:tcPr>
          <w:p w:rsidR="003B2414" w:rsidRPr="007437BE" w:rsidRDefault="003B2414" w:rsidP="005511B2">
            <w:pPr>
              <w:ind w:left="2520"/>
              <w:jc w:val="center"/>
              <w:rPr>
                <w:sz w:val="26"/>
              </w:rPr>
            </w:pPr>
            <w:r w:rsidRPr="007437BE">
              <w:rPr>
                <w:sz w:val="26"/>
              </w:rPr>
              <w:t>GOVERNMENT OF SINDH</w:t>
            </w:r>
          </w:p>
          <w:p w:rsidR="003B2414" w:rsidRPr="007437BE" w:rsidRDefault="003B2414" w:rsidP="005511B2">
            <w:pPr>
              <w:ind w:left="2520"/>
              <w:jc w:val="center"/>
              <w:rPr>
                <w:sz w:val="26"/>
              </w:rPr>
            </w:pPr>
            <w:r w:rsidRPr="007437BE">
              <w:rPr>
                <w:sz w:val="26"/>
              </w:rPr>
              <w:t>DIRECTORATE OF HUMAN RIGHTS</w:t>
            </w:r>
          </w:p>
          <w:p w:rsidR="003B2414" w:rsidRPr="007437BE" w:rsidRDefault="003B2414" w:rsidP="005511B2">
            <w:pPr>
              <w:ind w:left="2520"/>
              <w:jc w:val="center"/>
            </w:pPr>
          </w:p>
          <w:p w:rsidR="003B2414" w:rsidRPr="007437BE" w:rsidRDefault="003B2414" w:rsidP="005511B2">
            <w:pPr>
              <w:ind w:left="2952"/>
              <w:rPr>
                <w:sz w:val="28"/>
              </w:rPr>
            </w:pPr>
            <w:r w:rsidRPr="007437BE">
              <w:rPr>
                <w:sz w:val="28"/>
              </w:rPr>
              <w:t xml:space="preserve">Karachi dated the </w:t>
            </w:r>
            <w:r>
              <w:rPr>
                <w:sz w:val="28"/>
              </w:rPr>
              <w:t xml:space="preserve">  </w:t>
            </w:r>
            <w:r w:rsidR="00DB409B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                      2016</w:t>
            </w:r>
          </w:p>
        </w:tc>
      </w:tr>
    </w:tbl>
    <w:p w:rsidR="003B2414" w:rsidRDefault="003B2414" w:rsidP="003B2414"/>
    <w:p w:rsidR="003B2414" w:rsidRPr="00DB6722" w:rsidRDefault="003B2414" w:rsidP="003B2414"/>
    <w:p w:rsidR="003B2414" w:rsidRPr="00DB6722" w:rsidRDefault="003B2414" w:rsidP="003B2414"/>
    <w:p w:rsidR="00845941" w:rsidRDefault="00845941" w:rsidP="00845941">
      <w:pPr>
        <w:rPr>
          <w:b/>
          <w:sz w:val="28"/>
          <w:szCs w:val="28"/>
          <w:u w:val="single"/>
        </w:rPr>
      </w:pPr>
      <w:r w:rsidRPr="00404709">
        <w:rPr>
          <w:b/>
          <w:sz w:val="28"/>
          <w:szCs w:val="28"/>
          <w:u w:val="single"/>
        </w:rPr>
        <w:t>NOTICE INVITING TENDER FOR OFFICE SPACE REQUIRED IN KARACHI</w:t>
      </w:r>
    </w:p>
    <w:p w:rsidR="00845941" w:rsidRPr="00404709" w:rsidRDefault="00845941" w:rsidP="00845941">
      <w:pPr>
        <w:rPr>
          <w:b/>
          <w:sz w:val="28"/>
          <w:szCs w:val="28"/>
          <w:u w:val="single"/>
        </w:rPr>
      </w:pPr>
    </w:p>
    <w:p w:rsidR="00845941" w:rsidRPr="004E55AA" w:rsidRDefault="00AF4EDB" w:rsidP="004D0857">
      <w:pPr>
        <w:ind w:firstLine="720"/>
        <w:jc w:val="both"/>
        <w:rPr>
          <w:szCs w:val="28"/>
        </w:rPr>
      </w:pPr>
      <w:r>
        <w:rPr>
          <w:szCs w:val="28"/>
        </w:rPr>
        <w:t>Directorate of Human Rights</w:t>
      </w:r>
      <w:r w:rsidR="00845941" w:rsidRPr="004E55AA">
        <w:rPr>
          <w:szCs w:val="28"/>
        </w:rPr>
        <w:t xml:space="preserve">, Government of Sindh, invites sealed Bids under SPPRA Rules 2010 (Amended 2013), from </w:t>
      </w:r>
      <w:r w:rsidR="000F1163" w:rsidRPr="004E55AA">
        <w:rPr>
          <w:szCs w:val="28"/>
        </w:rPr>
        <w:t>interested owners</w:t>
      </w:r>
      <w:r w:rsidR="00845941" w:rsidRPr="004E55AA">
        <w:rPr>
          <w:szCs w:val="28"/>
        </w:rPr>
        <w:t xml:space="preserve">/ their nominated State Agents having suitable Premises, for acquiring on rental basis for </w:t>
      </w:r>
      <w:r w:rsidR="00ED5375">
        <w:rPr>
          <w:szCs w:val="28"/>
        </w:rPr>
        <w:t>office</w:t>
      </w:r>
      <w:r w:rsidR="00845941" w:rsidRPr="004E55AA">
        <w:rPr>
          <w:szCs w:val="28"/>
        </w:rPr>
        <w:t xml:space="preserve"> in Karachi City. The Requirements for the premises are as under:-</w:t>
      </w:r>
    </w:p>
    <w:p w:rsidR="000F1163" w:rsidRDefault="000F1163" w:rsidP="000F1163">
      <w:pPr>
        <w:jc w:val="both"/>
        <w:rPr>
          <w:sz w:val="28"/>
          <w:szCs w:val="28"/>
        </w:rPr>
      </w:pPr>
    </w:p>
    <w:tbl>
      <w:tblPr>
        <w:tblW w:w="9757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9"/>
        <w:gridCol w:w="2363"/>
        <w:gridCol w:w="6505"/>
      </w:tblGrid>
      <w:tr w:rsidR="00845941" w:rsidTr="004D0857">
        <w:trPr>
          <w:trHeight w:val="312"/>
        </w:trPr>
        <w:tc>
          <w:tcPr>
            <w:tcW w:w="889" w:type="dxa"/>
            <w:vAlign w:val="center"/>
          </w:tcPr>
          <w:p w:rsidR="00845941" w:rsidRPr="00802285" w:rsidRDefault="00845941" w:rsidP="004D0857">
            <w:pPr>
              <w:spacing w:line="192" w:lineRule="auto"/>
              <w:jc w:val="center"/>
              <w:rPr>
                <w:b/>
              </w:rPr>
            </w:pPr>
            <w:r w:rsidRPr="00802285">
              <w:rPr>
                <w:b/>
              </w:rPr>
              <w:t>Sr. No</w:t>
            </w:r>
          </w:p>
        </w:tc>
        <w:tc>
          <w:tcPr>
            <w:tcW w:w="2363" w:type="dxa"/>
            <w:vAlign w:val="center"/>
          </w:tcPr>
          <w:p w:rsidR="00845941" w:rsidRPr="00802285" w:rsidRDefault="00845941" w:rsidP="004D0857">
            <w:pPr>
              <w:spacing w:line="192" w:lineRule="auto"/>
              <w:jc w:val="center"/>
              <w:rPr>
                <w:b/>
              </w:rPr>
            </w:pPr>
            <w:r w:rsidRPr="00802285">
              <w:rPr>
                <w:b/>
              </w:rPr>
              <w:t>Features</w:t>
            </w:r>
          </w:p>
        </w:tc>
        <w:tc>
          <w:tcPr>
            <w:tcW w:w="6505" w:type="dxa"/>
            <w:vAlign w:val="center"/>
          </w:tcPr>
          <w:p w:rsidR="00845941" w:rsidRPr="00802285" w:rsidRDefault="00845941" w:rsidP="004D0857">
            <w:pPr>
              <w:spacing w:line="192" w:lineRule="auto"/>
              <w:jc w:val="center"/>
              <w:rPr>
                <w:b/>
              </w:rPr>
            </w:pPr>
            <w:r w:rsidRPr="00802285">
              <w:rPr>
                <w:b/>
              </w:rPr>
              <w:t>Requirements</w:t>
            </w:r>
          </w:p>
        </w:tc>
      </w:tr>
      <w:tr w:rsidR="00845941" w:rsidTr="004D0857">
        <w:trPr>
          <w:trHeight w:val="503"/>
        </w:trPr>
        <w:tc>
          <w:tcPr>
            <w:tcW w:w="889" w:type="dxa"/>
          </w:tcPr>
          <w:p w:rsidR="00845941" w:rsidRDefault="00845941" w:rsidP="004D0857">
            <w:pPr>
              <w:spacing w:line="192" w:lineRule="auto"/>
            </w:pPr>
            <w:r>
              <w:t>1</w:t>
            </w:r>
          </w:p>
        </w:tc>
        <w:tc>
          <w:tcPr>
            <w:tcW w:w="2363" w:type="dxa"/>
          </w:tcPr>
          <w:p w:rsidR="00845941" w:rsidRDefault="00845941" w:rsidP="004D0857">
            <w:pPr>
              <w:spacing w:line="192" w:lineRule="auto"/>
            </w:pPr>
            <w:r>
              <w:t>Preferred Location</w:t>
            </w:r>
          </w:p>
        </w:tc>
        <w:tc>
          <w:tcPr>
            <w:tcW w:w="6505" w:type="dxa"/>
            <w:vAlign w:val="center"/>
          </w:tcPr>
          <w:p w:rsidR="00845941" w:rsidRDefault="00845941" w:rsidP="00D4527F">
            <w:pPr>
              <w:spacing w:line="192" w:lineRule="auto"/>
            </w:pPr>
            <w:r>
              <w:t xml:space="preserve">Located in the vicinity of </w:t>
            </w:r>
            <w:r w:rsidR="00DB409B" w:rsidRPr="00DB409B">
              <w:t xml:space="preserve">Clifton, Civil Lines, P.E.C.H.S., Khalid Bin </w:t>
            </w:r>
            <w:proofErr w:type="spellStart"/>
            <w:r w:rsidR="00DB409B" w:rsidRPr="00DB409B">
              <w:t>Waleed</w:t>
            </w:r>
            <w:proofErr w:type="spellEnd"/>
            <w:r w:rsidR="00DB409B" w:rsidRPr="00DB409B">
              <w:t xml:space="preserve"> Road or </w:t>
            </w:r>
            <w:proofErr w:type="spellStart"/>
            <w:r w:rsidR="00DB409B" w:rsidRPr="00DB409B">
              <w:t>Shahr</w:t>
            </w:r>
            <w:proofErr w:type="spellEnd"/>
            <w:r w:rsidR="00DB409B" w:rsidRPr="00DB409B">
              <w:t>-e- Faisal near Nursery</w:t>
            </w:r>
            <w:r w:rsidR="00DB409B">
              <w:t xml:space="preserve"> </w:t>
            </w:r>
            <w:proofErr w:type="spellStart"/>
            <w:r w:rsidR="00DB409B">
              <w:t>etc</w:t>
            </w:r>
            <w:proofErr w:type="spellEnd"/>
          </w:p>
        </w:tc>
      </w:tr>
      <w:tr w:rsidR="00845941" w:rsidTr="004D0857">
        <w:trPr>
          <w:trHeight w:val="503"/>
        </w:trPr>
        <w:tc>
          <w:tcPr>
            <w:tcW w:w="889" w:type="dxa"/>
          </w:tcPr>
          <w:p w:rsidR="00845941" w:rsidRDefault="00845941" w:rsidP="004D0857">
            <w:pPr>
              <w:spacing w:line="192" w:lineRule="auto"/>
            </w:pPr>
            <w:r>
              <w:t>2</w:t>
            </w:r>
          </w:p>
        </w:tc>
        <w:tc>
          <w:tcPr>
            <w:tcW w:w="2363" w:type="dxa"/>
          </w:tcPr>
          <w:p w:rsidR="00845941" w:rsidRDefault="00845941" w:rsidP="004D0857">
            <w:pPr>
              <w:spacing w:line="192" w:lineRule="auto"/>
            </w:pPr>
            <w:r>
              <w:t>Space Required</w:t>
            </w:r>
          </w:p>
        </w:tc>
        <w:tc>
          <w:tcPr>
            <w:tcW w:w="6505" w:type="dxa"/>
            <w:vAlign w:val="center"/>
          </w:tcPr>
          <w:p w:rsidR="00845941" w:rsidRDefault="00845941" w:rsidP="008120F4">
            <w:pPr>
              <w:spacing w:line="192" w:lineRule="auto"/>
            </w:pPr>
            <w:r>
              <w:t xml:space="preserve">Building with Approximately covered area of </w:t>
            </w:r>
            <w:r w:rsidR="008120F4">
              <w:t xml:space="preserve">400- 600 </w:t>
            </w:r>
            <w:r w:rsidR="00D4527F">
              <w:t>Sq. yard</w:t>
            </w:r>
          </w:p>
        </w:tc>
      </w:tr>
      <w:tr w:rsidR="00845941" w:rsidTr="004D0857">
        <w:trPr>
          <w:trHeight w:val="232"/>
        </w:trPr>
        <w:tc>
          <w:tcPr>
            <w:tcW w:w="889" w:type="dxa"/>
          </w:tcPr>
          <w:p w:rsidR="00845941" w:rsidRDefault="00845941" w:rsidP="004D0857">
            <w:pPr>
              <w:spacing w:line="192" w:lineRule="auto"/>
            </w:pPr>
            <w:r>
              <w:t>3</w:t>
            </w:r>
          </w:p>
        </w:tc>
        <w:tc>
          <w:tcPr>
            <w:tcW w:w="2363" w:type="dxa"/>
          </w:tcPr>
          <w:p w:rsidR="00845941" w:rsidRDefault="00845941" w:rsidP="004D0857">
            <w:pPr>
              <w:spacing w:line="192" w:lineRule="auto"/>
            </w:pPr>
            <w:r>
              <w:t>Parking Space</w:t>
            </w:r>
          </w:p>
          <w:p w:rsidR="00BD6FC2" w:rsidRDefault="00BD6FC2" w:rsidP="004D0857">
            <w:pPr>
              <w:spacing w:line="192" w:lineRule="auto"/>
            </w:pPr>
          </w:p>
        </w:tc>
        <w:tc>
          <w:tcPr>
            <w:tcW w:w="6505" w:type="dxa"/>
          </w:tcPr>
          <w:p w:rsidR="00845941" w:rsidRDefault="00A55483" w:rsidP="00A55483">
            <w:pPr>
              <w:spacing w:line="192" w:lineRule="auto"/>
              <w:jc w:val="both"/>
            </w:pPr>
            <w:r>
              <w:t>4</w:t>
            </w:r>
            <w:r w:rsidR="00845941">
              <w:t>/</w:t>
            </w:r>
            <w:r>
              <w:t>5</w:t>
            </w:r>
            <w:r w:rsidR="00845941">
              <w:t xml:space="preserve"> Cars.</w:t>
            </w:r>
          </w:p>
        </w:tc>
      </w:tr>
      <w:tr w:rsidR="00845941" w:rsidTr="004D0857">
        <w:trPr>
          <w:trHeight w:val="372"/>
        </w:trPr>
        <w:tc>
          <w:tcPr>
            <w:tcW w:w="889" w:type="dxa"/>
          </w:tcPr>
          <w:p w:rsidR="00845941" w:rsidRDefault="00845941" w:rsidP="004D0857">
            <w:pPr>
              <w:spacing w:line="192" w:lineRule="auto"/>
            </w:pPr>
            <w:r>
              <w:t>4</w:t>
            </w:r>
          </w:p>
        </w:tc>
        <w:tc>
          <w:tcPr>
            <w:tcW w:w="2363" w:type="dxa"/>
          </w:tcPr>
          <w:p w:rsidR="00845941" w:rsidRPr="00DB50FE" w:rsidRDefault="00845941" w:rsidP="004D0857">
            <w:pPr>
              <w:spacing w:line="192" w:lineRule="auto"/>
            </w:pPr>
            <w:r>
              <w:t>Preferable Amenities</w:t>
            </w:r>
          </w:p>
        </w:tc>
        <w:tc>
          <w:tcPr>
            <w:tcW w:w="6505" w:type="dxa"/>
          </w:tcPr>
          <w:p w:rsidR="00845941" w:rsidRDefault="00845941" w:rsidP="000F1163">
            <w:pPr>
              <w:spacing w:line="192" w:lineRule="auto"/>
              <w:jc w:val="both"/>
            </w:pPr>
            <w:r>
              <w:t>Operational Kitchen with Gas, Telephone, Electricity, Water and availability of public transport in the vicinity.</w:t>
            </w:r>
          </w:p>
        </w:tc>
      </w:tr>
    </w:tbl>
    <w:p w:rsidR="00E07385" w:rsidRDefault="00E07385" w:rsidP="000F1163">
      <w:pPr>
        <w:jc w:val="both"/>
      </w:pPr>
    </w:p>
    <w:p w:rsidR="00845941" w:rsidRDefault="00845941" w:rsidP="000F1163">
      <w:pPr>
        <w:jc w:val="both"/>
      </w:pPr>
      <w:r>
        <w:t>2.</w:t>
      </w:r>
      <w:r>
        <w:tab/>
        <w:t>The Premises offered on rent must be vacant free from all encumbrances / claims and legal disputes etc. Documentary evidences of ownership payment of all duties/ taxes and dues, telephone, electricity/ water charges must be produced.</w:t>
      </w:r>
    </w:p>
    <w:p w:rsidR="004D0857" w:rsidRDefault="004D0857" w:rsidP="000F1163">
      <w:pPr>
        <w:jc w:val="both"/>
      </w:pPr>
    </w:p>
    <w:p w:rsidR="00845941" w:rsidRDefault="00845941" w:rsidP="000F1163">
      <w:pPr>
        <w:jc w:val="both"/>
      </w:pPr>
      <w:r>
        <w:t>3.</w:t>
      </w:r>
      <w:r>
        <w:tab/>
        <w:t>The interested owners/ parties are requested to give their best and final offers as no negotiations and provision of commission are expected.</w:t>
      </w:r>
    </w:p>
    <w:p w:rsidR="004D0857" w:rsidRDefault="004D0857" w:rsidP="000F1163">
      <w:pPr>
        <w:jc w:val="both"/>
      </w:pPr>
    </w:p>
    <w:p w:rsidR="004D0857" w:rsidRDefault="00AF4EDB" w:rsidP="000F1163">
      <w:pPr>
        <w:jc w:val="both"/>
      </w:pPr>
      <w:r>
        <w:t>4.</w:t>
      </w:r>
      <w:r>
        <w:tab/>
        <w:t>Directorate of Human Rights</w:t>
      </w:r>
      <w:r w:rsidR="00845941">
        <w:t xml:space="preserve"> would adopt </w:t>
      </w:r>
      <w:r w:rsidR="00845941" w:rsidRPr="0024018C">
        <w:rPr>
          <w:b/>
        </w:rPr>
        <w:t>Single Stage</w:t>
      </w:r>
      <w:r w:rsidR="00AA6EC2">
        <w:rPr>
          <w:b/>
        </w:rPr>
        <w:t xml:space="preserve"> - </w:t>
      </w:r>
      <w:r w:rsidR="00265966">
        <w:rPr>
          <w:b/>
        </w:rPr>
        <w:t>One</w:t>
      </w:r>
      <w:r w:rsidR="00ED5375">
        <w:rPr>
          <w:b/>
        </w:rPr>
        <w:t xml:space="preserve"> </w:t>
      </w:r>
      <w:r w:rsidR="00845941">
        <w:rPr>
          <w:b/>
        </w:rPr>
        <w:t xml:space="preserve">envelopes Procedure </w:t>
      </w:r>
      <w:r w:rsidR="00845941">
        <w:t xml:space="preserve">for selection of Bidder. The Bidder should submit </w:t>
      </w:r>
      <w:r w:rsidR="00ED5375">
        <w:t>single</w:t>
      </w:r>
      <w:r w:rsidR="00845941">
        <w:t xml:space="preserve"> sealed envelopes. </w:t>
      </w:r>
      <w:r w:rsidR="00ED5375">
        <w:t>E</w:t>
      </w:r>
      <w:r w:rsidR="00845941">
        <w:t>nvelope should contain the Pay Order/ Earnest Money &amp; cost offered by the Bidder as described in the Standard bidding Documents</w:t>
      </w:r>
      <w:r w:rsidR="008120F4">
        <w:t>.</w:t>
      </w:r>
    </w:p>
    <w:p w:rsidR="008120F4" w:rsidRDefault="008120F4" w:rsidP="000F1163">
      <w:pPr>
        <w:jc w:val="both"/>
      </w:pPr>
    </w:p>
    <w:p w:rsidR="00845941" w:rsidRDefault="00845941" w:rsidP="000F1163">
      <w:pPr>
        <w:jc w:val="both"/>
      </w:pPr>
      <w:r>
        <w:t>5.</w:t>
      </w:r>
      <w:r>
        <w:tab/>
        <w:t xml:space="preserve">Standard bidding Documents containing evaluation criteria and other relevant details may be collected (during office hours) from the following address with a non-refundable fee of </w:t>
      </w:r>
      <w:proofErr w:type="spellStart"/>
      <w:r>
        <w:t>Rs</w:t>
      </w:r>
      <w:proofErr w:type="spellEnd"/>
      <w:r>
        <w:t>. 1,</w:t>
      </w:r>
      <w:r w:rsidR="008120F4">
        <w:t>0</w:t>
      </w:r>
      <w:r>
        <w:t xml:space="preserve">00/- cash (amount and manner of payment of tender fee ) up to </w:t>
      </w:r>
      <w:r w:rsidR="001A0293">
        <w:t>Monday</w:t>
      </w:r>
      <w:r>
        <w:t xml:space="preserve"> the </w:t>
      </w:r>
      <w:r w:rsidR="004713D7">
        <w:t>07</w:t>
      </w:r>
      <w:r w:rsidR="00AA6EC2" w:rsidRPr="00AA6EC2">
        <w:rPr>
          <w:vertAlign w:val="superscript"/>
        </w:rPr>
        <w:t>th</w:t>
      </w:r>
      <w:r w:rsidR="00AA6EC2">
        <w:t xml:space="preserve"> </w:t>
      </w:r>
      <w:r>
        <w:t xml:space="preserve"> </w:t>
      </w:r>
      <w:r w:rsidR="00AA6EC2">
        <w:t>March</w:t>
      </w:r>
      <w:r>
        <w:t>, 201</w:t>
      </w:r>
      <w:r w:rsidR="008120F4">
        <w:t>6</w:t>
      </w:r>
      <w:r>
        <w:t xml:space="preserve">. The last date for submission of Bid is </w:t>
      </w:r>
      <w:r w:rsidR="006F1EC2">
        <w:t>Friday</w:t>
      </w:r>
      <w:r>
        <w:t xml:space="preserve">, the </w:t>
      </w:r>
      <w:r w:rsidR="00AA6EC2">
        <w:t>21</w:t>
      </w:r>
      <w:r w:rsidR="00AA6EC2" w:rsidRPr="00AA6EC2">
        <w:rPr>
          <w:vertAlign w:val="superscript"/>
        </w:rPr>
        <w:t>st</w:t>
      </w:r>
      <w:r w:rsidR="00AA6EC2">
        <w:t xml:space="preserve"> March</w:t>
      </w:r>
      <w:r>
        <w:t xml:space="preserve"> 201</w:t>
      </w:r>
      <w:r w:rsidR="008120F4">
        <w:t>6</w:t>
      </w:r>
      <w:r>
        <w:t xml:space="preserve"> up to 1</w:t>
      </w:r>
      <w:r w:rsidR="008120F4">
        <w:t>3</w:t>
      </w:r>
      <w:r>
        <w:t>:00 Hours. The Bid will be opened on the same day at 1</w:t>
      </w:r>
      <w:r w:rsidR="008120F4">
        <w:t>4</w:t>
      </w:r>
      <w:r>
        <w:t>:00 Hours in presence of the Bidders who wishes to attend.</w:t>
      </w:r>
    </w:p>
    <w:p w:rsidR="004D0857" w:rsidRDefault="004D0857" w:rsidP="000F1163">
      <w:pPr>
        <w:jc w:val="both"/>
      </w:pPr>
    </w:p>
    <w:p w:rsidR="004E55AA" w:rsidRDefault="004E55AA" w:rsidP="004D0857">
      <w:pPr>
        <w:jc w:val="center"/>
      </w:pPr>
    </w:p>
    <w:p w:rsidR="004D0857" w:rsidRDefault="004D0857" w:rsidP="000F1163">
      <w:pPr>
        <w:jc w:val="both"/>
      </w:pPr>
    </w:p>
    <w:p w:rsidR="004D0857" w:rsidRDefault="004D0857" w:rsidP="000F1163">
      <w:pPr>
        <w:jc w:val="both"/>
      </w:pPr>
    </w:p>
    <w:p w:rsidR="00845941" w:rsidRDefault="00845941" w:rsidP="000F1163">
      <w:pPr>
        <w:jc w:val="both"/>
      </w:pPr>
      <w:r>
        <w:lastRenderedPageBreak/>
        <w:t>6.</w:t>
      </w:r>
      <w:r>
        <w:tab/>
        <w:t>The Bidder may also download Bidding Documents from the following SPPRA websites and submitted the same.</w:t>
      </w:r>
    </w:p>
    <w:p w:rsidR="00845941" w:rsidRPr="004D0857" w:rsidRDefault="00845941" w:rsidP="000F1163">
      <w:pPr>
        <w:jc w:val="both"/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  <w:t xml:space="preserve">         </w:t>
      </w:r>
      <w:r>
        <w:tab/>
      </w:r>
      <w:r>
        <w:tab/>
      </w:r>
      <w:r>
        <w:tab/>
      </w:r>
    </w:p>
    <w:p w:rsidR="00845941" w:rsidRDefault="00845941" w:rsidP="000F1163">
      <w:pPr>
        <w:jc w:val="both"/>
      </w:pPr>
      <w:r w:rsidRPr="00404709">
        <w:t>7.</w:t>
      </w:r>
      <w:r>
        <w:tab/>
        <w:t>Attachment of a refundable Pay Order in sealed Financial Proposal (</w:t>
      </w:r>
      <w:r w:rsidR="00D762DC">
        <w:t>01</w:t>
      </w:r>
      <w:r>
        <w:t>% of total sum of one (1) Year’s Rent demanded for the premises offered) as Bid Security in the name of</w:t>
      </w:r>
      <w:r w:rsidR="00AF4EDB">
        <w:t xml:space="preserve"> Directorate of Human Rights</w:t>
      </w:r>
      <w:r>
        <w:t>, Government of Sindh, is mandatory. No Tender will be accepted without Bid Security and such Tender (s) will be rejected on the spot.</w:t>
      </w:r>
    </w:p>
    <w:p w:rsidR="004D0857" w:rsidRDefault="004D0857" w:rsidP="000F1163">
      <w:pPr>
        <w:jc w:val="both"/>
      </w:pPr>
    </w:p>
    <w:p w:rsidR="00845941" w:rsidRDefault="00845941" w:rsidP="000F1163">
      <w:pPr>
        <w:jc w:val="both"/>
      </w:pPr>
      <w:r>
        <w:t>8.</w:t>
      </w:r>
      <w:r>
        <w:tab/>
        <w:t>In the case of undesirable circumstances on submission/ opening date &amp; time or if the Government declares a Holiday, the Tender shall be submitted/ opened on the next working day at the same time &amp; venue.</w:t>
      </w:r>
    </w:p>
    <w:p w:rsidR="004D0857" w:rsidRDefault="004D0857" w:rsidP="000F1163">
      <w:pPr>
        <w:jc w:val="both"/>
      </w:pPr>
    </w:p>
    <w:p w:rsidR="00845941" w:rsidRDefault="00845941" w:rsidP="000F1163">
      <w:pPr>
        <w:jc w:val="both"/>
      </w:pPr>
      <w:r>
        <w:t>9.</w:t>
      </w:r>
      <w:r>
        <w:tab/>
        <w:t>The competent Authority reserves the right to reject any or all proposals at any time subject to provision provided in SPPRA Rules, 2010 (Amended 2013).</w:t>
      </w:r>
    </w:p>
    <w:p w:rsidR="00845941" w:rsidRDefault="00845941" w:rsidP="000F1163">
      <w:pPr>
        <w:jc w:val="both"/>
      </w:pPr>
    </w:p>
    <w:p w:rsidR="00845941" w:rsidRDefault="00845941" w:rsidP="000F1163">
      <w:pPr>
        <w:jc w:val="both"/>
      </w:pPr>
    </w:p>
    <w:p w:rsidR="004E55AA" w:rsidRDefault="004E55AA" w:rsidP="000F1163">
      <w:pPr>
        <w:jc w:val="both"/>
      </w:pPr>
    </w:p>
    <w:p w:rsidR="006F1EC2" w:rsidRDefault="006F1EC2" w:rsidP="000F1163">
      <w:pPr>
        <w:jc w:val="both"/>
      </w:pPr>
    </w:p>
    <w:p w:rsidR="006F1EC2" w:rsidRDefault="006F1EC2" w:rsidP="000F1163">
      <w:pPr>
        <w:jc w:val="both"/>
      </w:pPr>
    </w:p>
    <w:p w:rsidR="00845941" w:rsidRPr="008120F4" w:rsidRDefault="008120F4" w:rsidP="008120F4">
      <w:pPr>
        <w:ind w:left="5760" w:firstLine="720"/>
        <w:jc w:val="center"/>
        <w:rPr>
          <w:b/>
        </w:rPr>
      </w:pPr>
      <w:r>
        <w:t xml:space="preserve">   </w:t>
      </w:r>
      <w:r w:rsidR="00845941" w:rsidRPr="008120F4">
        <w:rPr>
          <w:b/>
        </w:rPr>
        <w:t>(</w:t>
      </w:r>
      <w:r w:rsidR="006F1EC2">
        <w:rPr>
          <w:b/>
        </w:rPr>
        <w:t>Section Officer</w:t>
      </w:r>
      <w:r w:rsidR="00845941" w:rsidRPr="008120F4">
        <w:rPr>
          <w:b/>
        </w:rPr>
        <w:t>)</w:t>
      </w:r>
    </w:p>
    <w:p w:rsidR="00845941" w:rsidRDefault="008120F4" w:rsidP="008120F4">
      <w:pPr>
        <w:jc w:val="center"/>
      </w:pPr>
      <w:r>
        <w:t xml:space="preserve">                                                                                                                 Directorate of Human Rights</w:t>
      </w:r>
    </w:p>
    <w:p w:rsidR="00845941" w:rsidRPr="00404709" w:rsidRDefault="00D762DC" w:rsidP="00D762DC">
      <w:pPr>
        <w:jc w:val="center"/>
      </w:pPr>
      <w:r>
        <w:t xml:space="preserve">                                                                                                             Government of Sindh</w:t>
      </w:r>
    </w:p>
    <w:p w:rsidR="003B2414" w:rsidRPr="00DB6722" w:rsidRDefault="003B2414" w:rsidP="000F1163">
      <w:pPr>
        <w:jc w:val="both"/>
      </w:pPr>
    </w:p>
    <w:p w:rsidR="003B2414" w:rsidRDefault="003B2414" w:rsidP="000F1163">
      <w:pPr>
        <w:jc w:val="both"/>
        <w:rPr>
          <w:b/>
          <w:sz w:val="30"/>
          <w:szCs w:val="30"/>
        </w:rPr>
      </w:pPr>
      <w:r>
        <w:tab/>
      </w:r>
    </w:p>
    <w:p w:rsidR="00C5045A" w:rsidRDefault="00C5045A"/>
    <w:sectPr w:rsidR="00C5045A" w:rsidSect="00845941">
      <w:pgSz w:w="12240" w:h="15840"/>
      <w:pgMar w:top="1440" w:right="990" w:bottom="1440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414"/>
    <w:rsid w:val="000D42AB"/>
    <w:rsid w:val="000F1163"/>
    <w:rsid w:val="001A0293"/>
    <w:rsid w:val="00265966"/>
    <w:rsid w:val="003828B9"/>
    <w:rsid w:val="003B2414"/>
    <w:rsid w:val="004713D7"/>
    <w:rsid w:val="004D0857"/>
    <w:rsid w:val="004E55AA"/>
    <w:rsid w:val="0053438E"/>
    <w:rsid w:val="006F1EC2"/>
    <w:rsid w:val="008120F4"/>
    <w:rsid w:val="00845941"/>
    <w:rsid w:val="00A55483"/>
    <w:rsid w:val="00AA6EC2"/>
    <w:rsid w:val="00AB2124"/>
    <w:rsid w:val="00AF4EDB"/>
    <w:rsid w:val="00BD6FC2"/>
    <w:rsid w:val="00C5045A"/>
    <w:rsid w:val="00D4527F"/>
    <w:rsid w:val="00D762DC"/>
    <w:rsid w:val="00DB409B"/>
    <w:rsid w:val="00E07385"/>
    <w:rsid w:val="00EA78CF"/>
    <w:rsid w:val="00EC0FB6"/>
    <w:rsid w:val="00ED5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241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D42AB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D42AB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D42AB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D42AB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D42AB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D42AB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D42AB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D42AB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D42AB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D42A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D42A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D42AB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D42AB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D42AB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0D42AB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D42AB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D42AB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D42AB"/>
    <w:rPr>
      <w:rFonts w:asciiTheme="majorHAnsi" w:eastAsiaTheme="majorEastAsia" w:hAnsiTheme="majorHAnsi" w:cstheme="majorBidi"/>
      <w:sz w:val="22"/>
      <w:szCs w:val="22"/>
    </w:rPr>
  </w:style>
  <w:style w:type="paragraph" w:styleId="NoSpacing">
    <w:name w:val="No Spacing"/>
    <w:uiPriority w:val="1"/>
    <w:qFormat/>
    <w:rsid w:val="000D42AB"/>
  </w:style>
  <w:style w:type="table" w:styleId="TableGrid">
    <w:name w:val="Table Grid"/>
    <w:basedOn w:val="TableNormal"/>
    <w:uiPriority w:val="59"/>
    <w:rsid w:val="003B2414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B24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24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241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D42AB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D42AB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D42AB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D42AB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D42AB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D42AB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D42AB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D42AB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D42AB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D42A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D42A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D42AB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D42AB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D42AB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0D42AB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D42AB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D42AB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D42AB"/>
    <w:rPr>
      <w:rFonts w:asciiTheme="majorHAnsi" w:eastAsiaTheme="majorEastAsia" w:hAnsiTheme="majorHAnsi" w:cstheme="majorBidi"/>
      <w:sz w:val="22"/>
      <w:szCs w:val="22"/>
    </w:rPr>
  </w:style>
  <w:style w:type="paragraph" w:styleId="NoSpacing">
    <w:name w:val="No Spacing"/>
    <w:uiPriority w:val="1"/>
    <w:qFormat/>
    <w:rsid w:val="000D42AB"/>
  </w:style>
  <w:style w:type="table" w:styleId="TableGrid">
    <w:name w:val="Table Grid"/>
    <w:basedOn w:val="TableNormal"/>
    <w:uiPriority w:val="59"/>
    <w:rsid w:val="003B2414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B24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24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0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473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Irshad</dc:creator>
  <cp:lastModifiedBy>Accounts</cp:lastModifiedBy>
  <cp:revision>13</cp:revision>
  <cp:lastPrinted>2016-03-04T07:33:00Z</cp:lastPrinted>
  <dcterms:created xsi:type="dcterms:W3CDTF">2016-02-22T08:52:00Z</dcterms:created>
  <dcterms:modified xsi:type="dcterms:W3CDTF">2016-03-04T07:43:00Z</dcterms:modified>
</cp:coreProperties>
</file>