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3E" w:rsidRDefault="0085663E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tbl>
      <w:tblPr>
        <w:tblStyle w:val="TableGrid"/>
        <w:tblW w:w="10206" w:type="dxa"/>
        <w:tblLook w:val="04A0"/>
      </w:tblPr>
      <w:tblGrid>
        <w:gridCol w:w="2538"/>
        <w:gridCol w:w="7668"/>
      </w:tblGrid>
      <w:tr w:rsidR="007C2258" w:rsidRPr="00511725" w:rsidTr="0085663E">
        <w:tc>
          <w:tcPr>
            <w:tcW w:w="2538" w:type="dxa"/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sz w:val="96"/>
                <w:szCs w:val="96"/>
              </w:rPr>
            </w:pPr>
            <w:r w:rsidRPr="00511725">
              <w:rPr>
                <w:rFonts w:ascii="Arial Narrow" w:hAnsi="Arial Narrow" w:cs="Times New Roman"/>
                <w:b/>
                <w:sz w:val="28"/>
                <w:szCs w:val="28"/>
              </w:rPr>
              <w:t>NAME OF WORK:</w:t>
            </w:r>
            <w:r w:rsidRPr="00511725">
              <w:rPr>
                <w:rFonts w:ascii="Arial Narrow" w:hAnsi="Arial Narrow" w:cs="Times New Roman"/>
                <w:b/>
                <w:sz w:val="28"/>
                <w:szCs w:val="28"/>
              </w:rPr>
              <w:tab/>
            </w:r>
          </w:p>
        </w:tc>
        <w:tc>
          <w:tcPr>
            <w:tcW w:w="7668" w:type="dxa"/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M&amp;R TO  CITY COURT  BUILDING KARACHI DISTRICT WEST BLOCK-E REPAIR/ MAINTINANCE OF ADJ COURT  ROOM/ CHAMBER &amp; OFFICES FLOORING WORK MAKING  PARTITION WOODEN/ ALUMINIM , FALSE CEILING ,  COLORING PAINTING  WOODEN PLATE FORM  AND REPAIR OF BATHROOMS ETC. </w:t>
            </w:r>
          </w:p>
        </w:tc>
      </w:tr>
    </w:tbl>
    <w:p w:rsidR="0085663E" w:rsidRDefault="0085663E" w:rsidP="007C2258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7C2258" w:rsidRPr="00511725" w:rsidRDefault="00AC3ABD" w:rsidP="007C2258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SCHEDULE”B”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4500"/>
        <w:gridCol w:w="1170"/>
        <w:gridCol w:w="1170"/>
        <w:gridCol w:w="900"/>
        <w:gridCol w:w="1710"/>
      </w:tblGrid>
      <w:tr w:rsidR="007C2258" w:rsidRPr="00511725" w:rsidTr="0085663E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S/No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Description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Qty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Rate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Unit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Amount</w:t>
            </w:r>
          </w:p>
        </w:tc>
      </w:tr>
      <w:tr w:rsidR="007C2258" w:rsidRPr="00511725" w:rsidTr="0085663E">
        <w:trPr>
          <w:trHeight w:val="270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PART-A-</w:t>
            </w:r>
            <w:proofErr w:type="gramStart"/>
            <w:r w:rsidRPr="0051172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I(</w:t>
            </w:r>
            <w:proofErr w:type="gramEnd"/>
            <w:r w:rsidRPr="0051172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SCHEDULE ITEM).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Distempering two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coats(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24-b/54).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716.30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1043/90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7477/-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Preparing the surface and applying rock wall/ shield (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Naural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wall texture ) coating to provide  durable  crust to wall  thickness b/w  2mm  to 32mm  1/8”  with acrylic  co polymer emulsion selected marble chips adhesive and bactericides water resistance and fire and termite resistance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upto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20’-0 height. (43/56).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12093.0 </w:t>
            </w:r>
            <w:proofErr w:type="spellStart"/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4504/50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544729/-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Preparing the surface and painting with weather  coat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i/c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 rubbing the surface  with rubbing  brick / sand paper , filling  the voids  with chalk/ plaster  of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paris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 and then painting with Weather coat of approved make(b) 2</w:t>
            </w:r>
            <w:r w:rsidRPr="00511725">
              <w:rPr>
                <w:rFonts w:ascii="Arial Narrow" w:hAnsi="Arial Narrow" w:cstheme="minorHAnsi"/>
                <w:sz w:val="24"/>
                <w:szCs w:val="24"/>
                <w:vertAlign w:val="superscript"/>
              </w:rPr>
              <w:t>nd</w:t>
            </w:r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&amp; subsequent coat . (38-a+b+b/56).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723.37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1948/10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14092/-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Painting old surface (c) painting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doors  and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windows any type (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i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) First coat (ii) Each subsequent coat. 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( 4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-c-i+ii+iii/68).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2923.75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1160/10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33917/-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511725">
              <w:rPr>
                <w:rFonts w:ascii="Arial Narrow" w:hAnsi="Arial Narrow" w:cstheme="minorHAnsi"/>
                <w:sz w:val="24"/>
                <w:szCs w:val="24"/>
              </w:rPr>
              <w:t>Providing and laying 3</w:t>
            </w:r>
            <w:proofErr w:type="gram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”  thick</w:t>
            </w:r>
            <w:proofErr w:type="gram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topping  cement concrete  1:2:4 including  surface  finishing  and dividing  into panels(d) 3” thick .  </w:t>
            </w:r>
            <w:proofErr w:type="gram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( 16</w:t>
            </w:r>
            <w:proofErr w:type="gram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-d/42).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4567.87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4411/82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201526/-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6.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Extra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labour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for </w:t>
            </w:r>
            <w:proofErr w:type="gram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each  storey</w:t>
            </w:r>
            <w:proofErr w:type="gram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 above ground  for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maosaic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 conglomerate or tile stone and wooden floor. (18/42).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4567.87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907/52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41454/-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7.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Frist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class deodar wood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wrought  joinery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in doors and windows etc fixed in position  including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chowkats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hold fasts hinges iron tower  bolts chocks cleats handles  and cords with hooks etc . (b) 1 ¾” thick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( 7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-b/58).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31.50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1273/76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P.Sft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40123/-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8.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Cement plaster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1:5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upto</w:t>
            </w:r>
            <w:proofErr w:type="spellEnd"/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12”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heiht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(c ) ¾” thick.  (12-c/52).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204.24 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2678/50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Cs/>
                <w:iCs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Cs/>
                <w:iCs/>
                <w:sz w:val="24"/>
                <w:szCs w:val="24"/>
              </w:rPr>
              <w:t xml:space="preserve">5471/-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511725">
              <w:rPr>
                <w:rFonts w:ascii="Arial Narrow" w:hAnsi="Arial Narrow" w:cs="Times New Roman"/>
                <w:b/>
                <w:sz w:val="28"/>
                <w:szCs w:val="28"/>
              </w:rPr>
              <w:t>Total A-I Rs.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</w:rPr>
              <w:t xml:space="preserve">888789/-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PART-A-II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Laying floor of approved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coloured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glazed tiles ¼” thick in white cement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1:2  over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¾” thick cement mortar 1:2 complete. (24/43).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84.37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27678/86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23353/-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White glazed tiles ¼” thick dado jointed in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white  cement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and laid over 1:2 cement  sand mortar ¾” thick including  finishing (37/45).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273.75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28253/61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77344/-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fixing 3/8” thick marble  tiles of approved quality and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colour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and shade size 8”x4” / 6” x4” in dado skirting   and facing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remonval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/ tucking  of existing  plaster  surface etc cover ½”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thic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base of cement mortar  1:3  sitting of tiles in slurry  of white cement  over mortar  base  including  filling the joints and washing the tiles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whith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white cement slurry  current finishing  cleaning and polishing  etc complete. (68-ii/49).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1793.0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201/07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P.sft.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360519/-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laying tiles glazed 6”x6”x1/4” on floor or wall facing in required  color and pattern  of stile specification  jointed  in white cement and pigment  in desired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chape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with finishing  clearing and cost of wax polish  etc complete including  cutting  tiles  to proper profile.  (60/47).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2436.37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30509/77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%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743331/- </w:t>
            </w:r>
          </w:p>
        </w:tc>
      </w:tr>
      <w:tr w:rsidR="007C2258" w:rsidRPr="00511725" w:rsidTr="0085663E">
        <w:trPr>
          <w:trHeight w:val="333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Rs.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1204547/- </w:t>
            </w:r>
          </w:p>
        </w:tc>
      </w:tr>
      <w:tr w:rsidR="007C2258" w:rsidRPr="00511725" w:rsidTr="0085663E">
        <w:trPr>
          <w:trHeight w:val="333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342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Total A-II Rs.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PART-A-</w:t>
            </w:r>
            <w:proofErr w:type="gramStart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III  NON</w:t>
            </w:r>
            <w:proofErr w:type="gramEnd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SCHEDULE ITEM.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laying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porceline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tiles of  (Master make)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matt/ glazed </w:t>
            </w: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to required color/ patt</w:t>
            </w:r>
            <w:r>
              <w:rPr>
                <w:rFonts w:ascii="Arial Narrow" w:hAnsi="Arial Narrow" w:cs="Times New Roman"/>
                <w:sz w:val="24"/>
                <w:szCs w:val="24"/>
              </w:rPr>
              <w:t>ern &amp;    size (18”x18”x1/4” or 24”x24”</w:t>
            </w: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x1/4”) in/c laying ¾” thick cement sand mortar bed ratio 1:6 in/c filling of joints with pigment  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B75B7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5086.0 </w:t>
            </w:r>
            <w:proofErr w:type="spellStart"/>
            <w:r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P.Sft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</w:rPr>
            </w:pPr>
            <w:r w:rsidRPr="00511725">
              <w:rPr>
                <w:rFonts w:ascii="Arial Narrow" w:hAnsi="Arial Narrow" w:cs="Times New Roman"/>
              </w:rPr>
              <w:t xml:space="preserve">Providing and fixing false ceiling gypsum </w:t>
            </w:r>
            <w:proofErr w:type="spellStart"/>
            <w:r w:rsidRPr="00511725">
              <w:rPr>
                <w:rFonts w:ascii="Arial Narrow" w:hAnsi="Arial Narrow" w:cs="Times New Roman"/>
              </w:rPr>
              <w:t>fibre</w:t>
            </w:r>
            <w:proofErr w:type="spellEnd"/>
            <w:r w:rsidRPr="00511725">
              <w:rPr>
                <w:rFonts w:ascii="Arial Narrow" w:hAnsi="Arial Narrow" w:cs="Times New Roman"/>
              </w:rPr>
              <w:t xml:space="preserve"> board in/c panel of size (24”x24) in/c frame work of </w:t>
            </w:r>
            <w:proofErr w:type="gramStart"/>
            <w:r w:rsidRPr="00511725">
              <w:rPr>
                <w:rFonts w:ascii="Arial Narrow" w:hAnsi="Arial Narrow" w:cs="Times New Roman"/>
              </w:rPr>
              <w:t>aluminum  double</w:t>
            </w:r>
            <w:proofErr w:type="gramEnd"/>
            <w:r w:rsidRPr="00511725">
              <w:rPr>
                <w:rFonts w:ascii="Arial Narrow" w:hAnsi="Arial Narrow" w:cs="Times New Roman"/>
              </w:rPr>
              <w:t xml:space="preserve"> channel section hanged with nails, hooks, wire to ceiling etc as directed by the consultants.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3788.70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P.sft.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both"/>
              <w:rPr>
                <w:rFonts w:ascii="Arial Narrow" w:hAnsi="Arial Narrow"/>
              </w:rPr>
            </w:pPr>
            <w:r w:rsidRPr="00511725">
              <w:rPr>
                <w:rFonts w:ascii="Arial Narrow" w:hAnsi="Arial Narrow"/>
              </w:rPr>
              <w:t xml:space="preserve">Providing and fixing  partition with fixed  glass (frosted) 5mm thick using 4” lucky section in champion  color as frame on floor or block </w:t>
            </w:r>
            <w:proofErr w:type="spellStart"/>
            <w:r w:rsidRPr="00511725">
              <w:rPr>
                <w:rFonts w:ascii="Arial Narrow" w:hAnsi="Arial Narrow"/>
              </w:rPr>
              <w:t>masonary</w:t>
            </w:r>
            <w:proofErr w:type="spellEnd"/>
            <w:r w:rsidRPr="00511725">
              <w:rPr>
                <w:rFonts w:ascii="Arial Narrow" w:hAnsi="Arial Narrow"/>
              </w:rPr>
              <w:t xml:space="preserve"> fixed with necessary fixtures rubber  packing  etc the cost of in/c  tools and plants used  in making and carriage from shop to site as directed by the Engineer </w:t>
            </w:r>
            <w:proofErr w:type="spellStart"/>
            <w:r w:rsidRPr="00511725">
              <w:rPr>
                <w:rFonts w:ascii="Arial Narrow" w:hAnsi="Arial Narrow"/>
              </w:rPr>
              <w:t>incharge</w:t>
            </w:r>
            <w:proofErr w:type="spellEnd"/>
            <w:r w:rsidRPr="00511725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480.87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P.Sft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Making and fixing wooden partition with one side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lemanted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lassani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ply sheet 1/8” thick and framing (24”x24”)with second class wood  size 2”x 1 ¼” including fixing half round wooden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gola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on edges in/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cs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the all cost of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labour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and material, carriage lifting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upto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3</w:t>
            </w:r>
            <w:r w:rsidRPr="00511725">
              <w:rPr>
                <w:rFonts w:ascii="Arial Narrow" w:hAnsi="Arial Narrow" w:cs="Times New Roman"/>
                <w:sz w:val="24"/>
                <w:szCs w:val="24"/>
                <w:vertAlign w:val="superscript"/>
              </w:rPr>
              <w:t>rd</w:t>
            </w: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floor etc complete in all respect.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246.64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P.Sft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Repairing of existing dais / plate form size (7.0x9.0) including removing and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refixing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as same place including replace of defective portion with second class wood 1” thick. In/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cs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the all cost of material etc.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11-Nos.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Each.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11725">
              <w:rPr>
                <w:rFonts w:ascii="Arial Narrow" w:hAnsi="Arial Narrow"/>
                <w:sz w:val="24"/>
                <w:szCs w:val="24"/>
              </w:rPr>
              <w:t xml:space="preserve">Providing &amp; Fixing car shed of </w:t>
            </w:r>
            <w:proofErr w:type="spellStart"/>
            <w:r w:rsidRPr="00511725">
              <w:rPr>
                <w:rFonts w:ascii="Arial Narrow" w:hAnsi="Arial Narrow"/>
                <w:sz w:val="24"/>
                <w:szCs w:val="24"/>
              </w:rPr>
              <w:t>Fibre</w:t>
            </w:r>
            <w:proofErr w:type="spellEnd"/>
            <w:r w:rsidRPr="00511725">
              <w:rPr>
                <w:rFonts w:ascii="Arial Narrow" w:hAnsi="Arial Narrow"/>
                <w:sz w:val="24"/>
                <w:szCs w:val="24"/>
              </w:rPr>
              <w:t xml:space="preserve"> glass plain sheet 2mm with M.S Tubular frame structure with 3” </w:t>
            </w:r>
            <w:proofErr w:type="spellStart"/>
            <w:r w:rsidRPr="00511725">
              <w:rPr>
                <w:rFonts w:ascii="Arial Narrow" w:hAnsi="Arial Narrow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/>
                <w:sz w:val="24"/>
                <w:szCs w:val="24"/>
              </w:rPr>
              <w:t xml:space="preserve"> G.I pipes </w:t>
            </w:r>
            <w:proofErr w:type="spellStart"/>
            <w:r w:rsidRPr="00511725">
              <w:rPr>
                <w:rFonts w:ascii="Arial Narrow" w:hAnsi="Arial Narrow"/>
                <w:sz w:val="24"/>
                <w:szCs w:val="24"/>
              </w:rPr>
              <w:t>piller</w:t>
            </w:r>
            <w:proofErr w:type="spellEnd"/>
            <w:r w:rsidRPr="00511725">
              <w:rPr>
                <w:rFonts w:ascii="Arial Narrow" w:hAnsi="Arial Narrow"/>
                <w:sz w:val="24"/>
                <w:szCs w:val="24"/>
              </w:rPr>
              <w:t xml:space="preserve"> as roof in/c 1”x1” tubular 15” beam frame with cross  angle iron. 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555.85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P.Sft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Total A-iii Rs.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Total (A-</w:t>
            </w:r>
            <w:proofErr w:type="spellStart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i+ii+iii</w:t>
            </w:r>
            <w:proofErr w:type="spellEnd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)Rs.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PART-B-I SANITARY </w:t>
            </w:r>
            <w:proofErr w:type="gramStart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WORK  (</w:t>
            </w:r>
            <w:proofErr w:type="gramEnd"/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S.I).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fixing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orisa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type white or color glazed earthen ware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w.c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pa with cost of low level plastic flush tank of 3 gallon capacity of approved quality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i/c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making requisite number of holes in wall plinth and floor and making good in cement concrete 1:2:4 (ii)with 4”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earthen ware trap and plastic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thumble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 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( 3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-a-ii/2).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1-No.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6166/60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Each.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6167/-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fixing European white glazed earthen ware wash down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w.c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pan complete with and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i/c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the cost of white/ black plastic seat (best quality) and lid with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c.p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brass hinges and buffers, 3 gallon white glazed earthen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earthen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ware low level flushing cistern with siphon fitting 1 ½”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white porcelain enameled flush bend ¾” </w:t>
            </w:r>
            <w:proofErr w:type="spellStart"/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and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making requisite number of holes in walls plinth and floor for pipe connections and making good in cement concrete 1:2:4 (Foreign quality).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( 5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/2).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2-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11477/40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Each.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22955/-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fixing  24”x18”  lavatory  basin in  white  glazed earthen ware  complete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wth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and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i/c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the cost of W.I  or C.I  cantilever  brackets  6  inches  built  into  walls,  painted  white  in two  coats after a primary  coat of red lead paint  a pair  of ½”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rubber  plug and chrome plated  brass chain 1-1/4”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malleable iron or brass  unions and making requisite  number  of holes in walls  plinth  and floor  for pipe  connection and making  good in cement  concrete  1:2 :4 (foreign or  equivalent) ( 10/3).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3-Nos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4928/-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Each.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14784/-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Add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extra  for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labour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for providing  and fixing of earthen  ware pedestal white or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coloured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glazed  (Foreign or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equivalen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). 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( 11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/3).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3-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2533/47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Each.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7600/-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5. .</w:t>
            </w:r>
            <w:proofErr w:type="gramEnd"/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Supplying and fixing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C.p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muslim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shower with double bib cock and ring pipe etc complete. 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( 19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-a/19).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B75B7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="007C2258" w:rsidRPr="00511725">
              <w:rPr>
                <w:rFonts w:ascii="Arial Narrow" w:hAnsi="Arial Narrow" w:cs="Times New Roman"/>
                <w:sz w:val="24"/>
                <w:szCs w:val="24"/>
              </w:rPr>
              <w:t>-</w:t>
            </w:r>
            <w:proofErr w:type="gramStart"/>
            <w:r w:rsidR="007C2258"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="007C2258"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3432/-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Each.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13728/-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Supplying and </w:t>
            </w:r>
            <w:proofErr w:type="gram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fixing  swan</w:t>
            </w:r>
            <w:proofErr w:type="gram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type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piller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cock  of superior quality  single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c.p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head  ½” </w:t>
            </w:r>
            <w:proofErr w:type="spellStart"/>
            <w:r w:rsidRPr="00511725">
              <w:rPr>
                <w:rFonts w:ascii="Arial Narrow" w:hAnsi="Arial Narrow" w:cstheme="minorHAnsi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theme="minorHAnsi"/>
                <w:sz w:val="24"/>
                <w:szCs w:val="24"/>
              </w:rPr>
              <w:t xml:space="preserve"> ( 16-a/19).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4-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795/30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Each.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3181/-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Supplying and fixing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cancealed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tee-stop cock of superior quality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c.p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head ½”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dia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(12-a/18). </w:t>
            </w:r>
          </w:p>
          <w:p w:rsidR="00394912" w:rsidRPr="00511725" w:rsidRDefault="00394912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6-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843/92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Each.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5064/-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Providing and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fixing  15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”x12”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bavelled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edge  mirror of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belguim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 glass complete  with 1/8” 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thic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hard board  and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c.p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screws fixed to wooden pleat. (a) 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standard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patteren</w:t>
            </w:r>
            <w:proofErr w:type="spell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. (4-a/7).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>4-</w:t>
            </w:r>
            <w:proofErr w:type="gramStart"/>
            <w:r w:rsidRPr="00511725">
              <w:rPr>
                <w:rFonts w:ascii="Arial Narrow" w:hAnsi="Arial Narrow" w:cs="Times New Roman"/>
                <w:sz w:val="24"/>
                <w:szCs w:val="24"/>
              </w:rPr>
              <w:t>Nos .</w:t>
            </w:r>
            <w:proofErr w:type="gramEnd"/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1161/60 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Each. 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sz w:val="24"/>
                <w:szCs w:val="24"/>
              </w:rPr>
              <w:t xml:space="preserve">4646/-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Rs.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394912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78125</w:t>
            </w:r>
            <w:r w:rsidR="007C2258" w:rsidRPr="005117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/- </w:t>
            </w: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1725">
              <w:rPr>
                <w:rFonts w:ascii="Arial Narrow" w:hAnsi="Arial Narrow" w:cs="Times New Roman"/>
                <w:b/>
                <w:sz w:val="24"/>
                <w:szCs w:val="24"/>
              </w:rPr>
              <w:t>Total (B) Rs.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7C2258" w:rsidRPr="00511725" w:rsidTr="0085663E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51172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G.Total</w:t>
            </w:r>
            <w:proofErr w:type="spellEnd"/>
            <w:r w:rsidRPr="00511725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(A+B).Rs.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2258" w:rsidRPr="00511725" w:rsidRDefault="007C2258" w:rsidP="0085663E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  <w:r w:rsidRPr="0019638E">
        <w:rPr>
          <w:rFonts w:ascii="Arial Narrow" w:hAnsi="Arial Narrow" w:cstheme="minorHAnsi"/>
          <w:b/>
          <w:sz w:val="24"/>
          <w:szCs w:val="24"/>
          <w:u w:val="single"/>
        </w:rPr>
        <w:t>TERMS AND CONDITION</w:t>
      </w:r>
    </w:p>
    <w:p w:rsidR="00421C64" w:rsidRPr="0019638E" w:rsidRDefault="00421C64" w:rsidP="00421C6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 xml:space="preserve">1.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Any typographical  errors in the schedule ‘B’ are subjected to any correction with the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reference to the schedule of Rates General item 2012 in force from `12-07-2012 as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approved by the standing rates committee Sindh Karachi.</w:t>
      </w:r>
    </w:p>
    <w:p w:rsidR="00421C64" w:rsidRPr="0019638E" w:rsidRDefault="00421C64" w:rsidP="00421C6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2.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100% well graded crushed </w:t>
      </w:r>
      <w:proofErr w:type="spellStart"/>
      <w:r w:rsidRPr="0019638E">
        <w:rPr>
          <w:rFonts w:ascii="Arial Narrow" w:hAnsi="Arial Narrow" w:cstheme="minorHAnsi"/>
          <w:b/>
          <w:sz w:val="28"/>
          <w:szCs w:val="28"/>
        </w:rPr>
        <w:t>bajri</w:t>
      </w:r>
      <w:proofErr w:type="spellEnd"/>
      <w:r w:rsidRPr="0019638E">
        <w:rPr>
          <w:rFonts w:ascii="Arial Narrow" w:hAnsi="Arial Narrow" w:cstheme="minorHAnsi"/>
          <w:b/>
          <w:sz w:val="28"/>
          <w:szCs w:val="28"/>
        </w:rPr>
        <w:t xml:space="preserve"> shall be used in item of RCC 1:2:4.</w:t>
      </w:r>
    </w:p>
    <w:p w:rsidR="00421C64" w:rsidRPr="0019638E" w:rsidRDefault="00421C64" w:rsidP="00421C6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3.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No Premium shall be paid on Non schedule items.</w:t>
      </w:r>
    </w:p>
    <w:p w:rsidR="00421C64" w:rsidRPr="0019638E" w:rsidRDefault="00421C64" w:rsidP="00421C64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4.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The work will be carried out as per PWD Specifications.</w:t>
      </w: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  <w:r w:rsidRPr="0019638E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421C64" w:rsidRPr="0019638E" w:rsidRDefault="00421C64" w:rsidP="00421C64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tbl>
      <w:tblPr>
        <w:tblpPr w:leftFromText="180" w:rightFromText="180" w:vertAnchor="text" w:horzAnchor="page" w:tblpX="1593" w:tblpY="218"/>
        <w:tblW w:w="10098" w:type="dxa"/>
        <w:tblLook w:val="0000"/>
      </w:tblPr>
      <w:tblGrid>
        <w:gridCol w:w="1728"/>
        <w:gridCol w:w="4140"/>
        <w:gridCol w:w="4230"/>
      </w:tblGrid>
      <w:tr w:rsidR="00421C64" w:rsidRPr="0019638E" w:rsidTr="0085663E">
        <w:tc>
          <w:tcPr>
            <w:tcW w:w="1728" w:type="dxa"/>
          </w:tcPr>
          <w:p w:rsidR="002242B0" w:rsidRDefault="002242B0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 xml:space="preserve">Contractor. 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2242B0" w:rsidRDefault="002242B0" w:rsidP="002242B0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ASSISTANT ENGINEER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Sub Division-XI,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  <w:tc>
          <w:tcPr>
            <w:tcW w:w="4230" w:type="dxa"/>
          </w:tcPr>
          <w:p w:rsidR="002242B0" w:rsidRDefault="002242B0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EXECUTIVE  ENGINEER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Division-No.III</w:t>
            </w:r>
          </w:p>
          <w:p w:rsidR="00421C64" w:rsidRPr="0019638E" w:rsidRDefault="00421C64" w:rsidP="0085663E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</w:tr>
    </w:tbl>
    <w:p w:rsidR="00D15171" w:rsidRDefault="00D15171" w:rsidP="002242B0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sectPr w:rsidR="00D15171" w:rsidSect="003A2746">
      <w:pgSz w:w="12240" w:h="15840"/>
      <w:pgMar w:top="810" w:right="63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33E"/>
    <w:multiLevelType w:val="hybridMultilevel"/>
    <w:tmpl w:val="5E16DB58"/>
    <w:lvl w:ilvl="0" w:tplc="A538D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1F2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F77CF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E7AE8"/>
    <w:multiLevelType w:val="hybridMultilevel"/>
    <w:tmpl w:val="3424A1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5001D"/>
    <w:multiLevelType w:val="hybridMultilevel"/>
    <w:tmpl w:val="808E6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4A02"/>
    <w:multiLevelType w:val="hybridMultilevel"/>
    <w:tmpl w:val="A27AA4C6"/>
    <w:lvl w:ilvl="0" w:tplc="285CD1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F6AFA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F3A59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1145C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F0D0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D0EE2"/>
    <w:multiLevelType w:val="hybridMultilevel"/>
    <w:tmpl w:val="5D12DE2C"/>
    <w:lvl w:ilvl="0" w:tplc="A32E8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4187C"/>
    <w:multiLevelType w:val="hybridMultilevel"/>
    <w:tmpl w:val="00DAEB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DF85E41"/>
    <w:multiLevelType w:val="hybridMultilevel"/>
    <w:tmpl w:val="6F72D19A"/>
    <w:lvl w:ilvl="0" w:tplc="D5D8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A2659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4B7E"/>
    <w:multiLevelType w:val="hybridMultilevel"/>
    <w:tmpl w:val="54F6CC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C6550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CE5336"/>
    <w:multiLevelType w:val="hybridMultilevel"/>
    <w:tmpl w:val="2A9AA9B8"/>
    <w:lvl w:ilvl="0" w:tplc="70280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A44DC"/>
    <w:multiLevelType w:val="hybridMultilevel"/>
    <w:tmpl w:val="A484D106"/>
    <w:lvl w:ilvl="0" w:tplc="63E60986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81588B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343A4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E4ED8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63185"/>
    <w:multiLevelType w:val="hybridMultilevel"/>
    <w:tmpl w:val="FB9C4390"/>
    <w:lvl w:ilvl="0" w:tplc="45CAD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0702B"/>
    <w:multiLevelType w:val="hybridMultilevel"/>
    <w:tmpl w:val="4064C08C"/>
    <w:lvl w:ilvl="0" w:tplc="67F0D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81B84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E59C1"/>
    <w:multiLevelType w:val="hybridMultilevel"/>
    <w:tmpl w:val="7F964250"/>
    <w:lvl w:ilvl="0" w:tplc="6694A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741F93"/>
    <w:multiLevelType w:val="hybridMultilevel"/>
    <w:tmpl w:val="1B40C238"/>
    <w:lvl w:ilvl="0" w:tplc="B10A5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F76F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561A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04C3E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BD7A28"/>
    <w:multiLevelType w:val="hybridMultilevel"/>
    <w:tmpl w:val="BC629D88"/>
    <w:lvl w:ilvl="0" w:tplc="4AA4D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E3F73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37359A"/>
    <w:multiLevelType w:val="hybridMultilevel"/>
    <w:tmpl w:val="BA72537E"/>
    <w:lvl w:ilvl="0" w:tplc="8476071A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4554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3135C"/>
    <w:multiLevelType w:val="hybridMultilevel"/>
    <w:tmpl w:val="CA3CE7C0"/>
    <w:lvl w:ilvl="0" w:tplc="83560F6A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A5D75"/>
    <w:multiLevelType w:val="hybridMultilevel"/>
    <w:tmpl w:val="D52C978C"/>
    <w:lvl w:ilvl="0" w:tplc="FB00B26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891CFF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A776F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B4C3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55CE3"/>
    <w:multiLevelType w:val="hybridMultilevel"/>
    <w:tmpl w:val="90523CD0"/>
    <w:lvl w:ilvl="0" w:tplc="F6BE8B7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B92386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DE7C20"/>
    <w:multiLevelType w:val="hybridMultilevel"/>
    <w:tmpl w:val="5B203722"/>
    <w:lvl w:ilvl="0" w:tplc="EAAEC93A">
      <w:start w:val="1"/>
      <w:numFmt w:val="upperLetter"/>
      <w:lvlText w:val="(%1)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41">
    <w:nsid w:val="7C994332"/>
    <w:multiLevelType w:val="hybridMultilevel"/>
    <w:tmpl w:val="15A854CE"/>
    <w:lvl w:ilvl="0" w:tplc="7542F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10"/>
  </w:num>
  <w:num w:numId="5">
    <w:abstractNumId w:val="21"/>
  </w:num>
  <w:num w:numId="6">
    <w:abstractNumId w:val="41"/>
  </w:num>
  <w:num w:numId="7">
    <w:abstractNumId w:val="40"/>
  </w:num>
  <w:num w:numId="8">
    <w:abstractNumId w:val="1"/>
  </w:num>
  <w:num w:numId="9">
    <w:abstractNumId w:val="35"/>
  </w:num>
  <w:num w:numId="10">
    <w:abstractNumId w:val="13"/>
  </w:num>
  <w:num w:numId="11">
    <w:abstractNumId w:val="32"/>
  </w:num>
  <w:num w:numId="12">
    <w:abstractNumId w:val="28"/>
  </w:num>
  <w:num w:numId="13">
    <w:abstractNumId w:val="2"/>
  </w:num>
  <w:num w:numId="14">
    <w:abstractNumId w:val="18"/>
  </w:num>
  <w:num w:numId="15">
    <w:abstractNumId w:val="9"/>
  </w:num>
  <w:num w:numId="16">
    <w:abstractNumId w:val="8"/>
  </w:num>
  <w:num w:numId="17">
    <w:abstractNumId w:val="27"/>
  </w:num>
  <w:num w:numId="18">
    <w:abstractNumId w:val="22"/>
  </w:num>
  <w:num w:numId="19">
    <w:abstractNumId w:val="20"/>
  </w:num>
  <w:num w:numId="20">
    <w:abstractNumId w:val="14"/>
  </w:num>
  <w:num w:numId="21">
    <w:abstractNumId w:val="23"/>
  </w:num>
  <w:num w:numId="22">
    <w:abstractNumId w:val="15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30"/>
  </w:num>
  <w:num w:numId="27">
    <w:abstractNumId w:val="7"/>
  </w:num>
  <w:num w:numId="28">
    <w:abstractNumId w:val="37"/>
  </w:num>
  <w:num w:numId="29">
    <w:abstractNumId w:val="0"/>
  </w:num>
  <w:num w:numId="30">
    <w:abstractNumId w:val="19"/>
  </w:num>
  <w:num w:numId="31">
    <w:abstractNumId w:val="26"/>
  </w:num>
  <w:num w:numId="32">
    <w:abstractNumId w:val="36"/>
  </w:num>
  <w:num w:numId="33">
    <w:abstractNumId w:val="31"/>
  </w:num>
  <w:num w:numId="34">
    <w:abstractNumId w:val="33"/>
  </w:num>
  <w:num w:numId="35">
    <w:abstractNumId w:val="29"/>
  </w:num>
  <w:num w:numId="36">
    <w:abstractNumId w:val="5"/>
  </w:num>
  <w:num w:numId="37">
    <w:abstractNumId w:val="3"/>
  </w:num>
  <w:num w:numId="38">
    <w:abstractNumId w:val="4"/>
  </w:num>
  <w:num w:numId="39">
    <w:abstractNumId w:val="17"/>
  </w:num>
  <w:num w:numId="40">
    <w:abstractNumId w:val="11"/>
  </w:num>
  <w:num w:numId="41">
    <w:abstractNumId w:val="24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F84"/>
    <w:rsid w:val="0001689A"/>
    <w:rsid w:val="000C1BF0"/>
    <w:rsid w:val="0019638E"/>
    <w:rsid w:val="00196F64"/>
    <w:rsid w:val="00197671"/>
    <w:rsid w:val="001A2A7A"/>
    <w:rsid w:val="001F6850"/>
    <w:rsid w:val="001F6EB7"/>
    <w:rsid w:val="0020040F"/>
    <w:rsid w:val="00202DC8"/>
    <w:rsid w:val="002242B0"/>
    <w:rsid w:val="00364CAB"/>
    <w:rsid w:val="003940EA"/>
    <w:rsid w:val="00394912"/>
    <w:rsid w:val="003A2746"/>
    <w:rsid w:val="003C2F85"/>
    <w:rsid w:val="00411C0B"/>
    <w:rsid w:val="00420092"/>
    <w:rsid w:val="004212B7"/>
    <w:rsid w:val="00421C64"/>
    <w:rsid w:val="00462E81"/>
    <w:rsid w:val="00537C64"/>
    <w:rsid w:val="00572023"/>
    <w:rsid w:val="005A1119"/>
    <w:rsid w:val="006364EA"/>
    <w:rsid w:val="0066748E"/>
    <w:rsid w:val="006765C4"/>
    <w:rsid w:val="00690A73"/>
    <w:rsid w:val="006D0DB5"/>
    <w:rsid w:val="006D54BF"/>
    <w:rsid w:val="00731D55"/>
    <w:rsid w:val="007B75B7"/>
    <w:rsid w:val="007C2258"/>
    <w:rsid w:val="007F2507"/>
    <w:rsid w:val="00800422"/>
    <w:rsid w:val="008204FC"/>
    <w:rsid w:val="00824325"/>
    <w:rsid w:val="0085663E"/>
    <w:rsid w:val="00890312"/>
    <w:rsid w:val="008A1FAF"/>
    <w:rsid w:val="008B6FA3"/>
    <w:rsid w:val="008C4D50"/>
    <w:rsid w:val="008F717A"/>
    <w:rsid w:val="00926737"/>
    <w:rsid w:val="009428A9"/>
    <w:rsid w:val="0096497B"/>
    <w:rsid w:val="009654C8"/>
    <w:rsid w:val="009A3FDD"/>
    <w:rsid w:val="009C7038"/>
    <w:rsid w:val="009E08B2"/>
    <w:rsid w:val="00A236E1"/>
    <w:rsid w:val="00A2546F"/>
    <w:rsid w:val="00AB2A7B"/>
    <w:rsid w:val="00AC3ABD"/>
    <w:rsid w:val="00AC4EC2"/>
    <w:rsid w:val="00AD6A14"/>
    <w:rsid w:val="00B92AEA"/>
    <w:rsid w:val="00BD53DB"/>
    <w:rsid w:val="00BD7882"/>
    <w:rsid w:val="00C620DE"/>
    <w:rsid w:val="00CA5727"/>
    <w:rsid w:val="00CD1894"/>
    <w:rsid w:val="00D15171"/>
    <w:rsid w:val="00D40AF2"/>
    <w:rsid w:val="00D457D0"/>
    <w:rsid w:val="00D76B8A"/>
    <w:rsid w:val="00DD2BAB"/>
    <w:rsid w:val="00DF6F84"/>
    <w:rsid w:val="00E12436"/>
    <w:rsid w:val="00E126E0"/>
    <w:rsid w:val="00E43751"/>
    <w:rsid w:val="00E67F18"/>
    <w:rsid w:val="00E95103"/>
    <w:rsid w:val="00EB6510"/>
    <w:rsid w:val="00EC7F13"/>
    <w:rsid w:val="00EE7140"/>
    <w:rsid w:val="00EE7150"/>
    <w:rsid w:val="00EF6EF9"/>
    <w:rsid w:val="00F02DDA"/>
    <w:rsid w:val="00F1709D"/>
    <w:rsid w:val="00FC3790"/>
    <w:rsid w:val="00FD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84"/>
    <w:rPr>
      <w:rFonts w:eastAsiaTheme="maj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54C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4C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54C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54C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54C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54C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54C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654C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54C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4C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654C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54C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54C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54C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9654C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54C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54C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654C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654C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54C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654C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654C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654C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654C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654C8"/>
  </w:style>
  <w:style w:type="paragraph" w:styleId="ListParagraph">
    <w:name w:val="List Paragraph"/>
    <w:basedOn w:val="Normal"/>
    <w:uiPriority w:val="34"/>
    <w:qFormat/>
    <w:rsid w:val="009654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54C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54C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54C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54C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654C8"/>
    <w:rPr>
      <w:i/>
      <w:iCs/>
    </w:rPr>
  </w:style>
  <w:style w:type="character" w:styleId="IntenseEmphasis">
    <w:name w:val="Intense Emphasis"/>
    <w:uiPriority w:val="21"/>
    <w:qFormat/>
    <w:rsid w:val="009654C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654C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654C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654C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54C8"/>
    <w:pPr>
      <w:outlineLvl w:val="9"/>
    </w:pPr>
  </w:style>
  <w:style w:type="table" w:styleId="TableGrid">
    <w:name w:val="Table Grid"/>
    <w:basedOn w:val="TableNormal"/>
    <w:uiPriority w:val="59"/>
    <w:rsid w:val="00DF6F84"/>
    <w:pPr>
      <w:spacing w:after="0" w:line="240" w:lineRule="auto"/>
    </w:pPr>
    <w:rPr>
      <w:rFonts w:asciiTheme="minorHAnsi" w:eastAsiaTheme="majorEastAsia" w:hAnsiTheme="minorHAnsi" w:cstheme="minorBid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F6F84"/>
    <w:rPr>
      <w:rFonts w:eastAsiaTheme="majorEastAsia"/>
    </w:rPr>
  </w:style>
  <w:style w:type="paragraph" w:styleId="BodyText2">
    <w:name w:val="Body Text 2"/>
    <w:basedOn w:val="Normal"/>
    <w:link w:val="BodyText2Char"/>
    <w:uiPriority w:val="99"/>
    <w:semiHidden/>
    <w:rsid w:val="00DF6F84"/>
    <w:pPr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DF6F84"/>
    <w:rPr>
      <w:rFonts w:ascii="Arial" w:eastAsiaTheme="majorEastAsia" w:hAnsi="Arial"/>
      <w:b/>
      <w:bCs/>
      <w:sz w:val="26"/>
      <w:u w:val="single"/>
    </w:rPr>
  </w:style>
  <w:style w:type="paragraph" w:styleId="BodyText3">
    <w:name w:val="Body Text 3"/>
    <w:basedOn w:val="Normal"/>
    <w:link w:val="BodyText3Char"/>
    <w:semiHidden/>
    <w:rsid w:val="00DF6F84"/>
    <w:pPr>
      <w:spacing w:before="200" w:line="300" w:lineRule="auto"/>
      <w:jc w:val="both"/>
    </w:pPr>
    <w:rPr>
      <w:rFonts w:ascii="Arial" w:hAnsi="Arial"/>
      <w:b/>
      <w:bCs/>
      <w:sz w:val="26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F6F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6F84"/>
    <w:rPr>
      <w:rFonts w:eastAsiaTheme="majorEastAsi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F84"/>
    <w:rPr>
      <w:rFonts w:ascii="Tahoma" w:eastAsiaTheme="maj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F8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DF6F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F6F84"/>
    <w:rPr>
      <w:rFonts w:eastAsiaTheme="majorEastAsia"/>
    </w:rPr>
  </w:style>
  <w:style w:type="character" w:styleId="Hyperlink">
    <w:name w:val="Hyperlink"/>
    <w:basedOn w:val="DefaultParagraphFont"/>
    <w:uiPriority w:val="99"/>
    <w:unhideWhenUsed/>
    <w:rsid w:val="00DF6F84"/>
    <w:rPr>
      <w:color w:val="0000FF" w:themeColor="hyperlink"/>
      <w:u w:val="singl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F84"/>
    <w:rPr>
      <w:rFonts w:eastAsiaTheme="maj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F84"/>
    <w:pPr>
      <w:spacing w:after="120" w:line="480" w:lineRule="auto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</dc:creator>
  <cp:lastModifiedBy>ali</cp:lastModifiedBy>
  <cp:revision>10</cp:revision>
  <cp:lastPrinted>2016-03-01T13:25:00Z</cp:lastPrinted>
  <dcterms:created xsi:type="dcterms:W3CDTF">2016-03-01T13:55:00Z</dcterms:created>
  <dcterms:modified xsi:type="dcterms:W3CDTF">2016-03-02T09:22:00Z</dcterms:modified>
</cp:coreProperties>
</file>