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5D20EF" w:rsidP="009376B2">
      <w:pPr>
        <w:pStyle w:val="NoSpacing"/>
        <w:jc w:val="center"/>
        <w:rPr>
          <w:rFonts w:ascii="Palatino Linotype" w:hAnsi="Palatino Linotype"/>
          <w:sz w:val="24"/>
          <w:szCs w:val="24"/>
        </w:rPr>
      </w:pPr>
      <w:r w:rsidRPr="005D20E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54557" w:rsidRDefault="00CC5C34" w:rsidP="0063471C">
      <w:pPr>
        <w:pStyle w:val="NoSpacing"/>
        <w:rPr>
          <w:rFonts w:ascii="Palatino Linotype" w:hAnsi="Palatino Linotype"/>
          <w:b/>
          <w:bCs/>
          <w:sz w:val="28"/>
          <w:szCs w:val="28"/>
        </w:rPr>
      </w:pPr>
      <w:r>
        <w:rPr>
          <w:rFonts w:ascii="Palatino Linotype" w:hAnsi="Palatino Linotype"/>
          <w:sz w:val="38"/>
          <w:szCs w:val="24"/>
        </w:rPr>
        <w:t>Name of Work:-</w:t>
      </w:r>
      <w:r w:rsidR="00D07D24">
        <w:rPr>
          <w:rFonts w:ascii="Palatino Linotype" w:hAnsi="Palatino Linotype"/>
          <w:sz w:val="38"/>
          <w:szCs w:val="24"/>
        </w:rPr>
        <w:tab/>
      </w:r>
      <w:r w:rsidR="00173D0A" w:rsidRPr="00173D0A">
        <w:rPr>
          <w:rFonts w:ascii="Palatino Linotype" w:hAnsi="Palatino Linotype"/>
          <w:sz w:val="28"/>
          <w:szCs w:val="28"/>
        </w:rPr>
        <w:t xml:space="preserve">Construction of link road from Green Star Hotel via Lakh </w:t>
      </w:r>
      <w:r w:rsidR="00173D0A">
        <w:rPr>
          <w:rFonts w:ascii="Palatino Linotype" w:hAnsi="Palatino Linotype"/>
          <w:sz w:val="28"/>
          <w:szCs w:val="28"/>
        </w:rPr>
        <w:tab/>
      </w:r>
      <w:r w:rsidR="00173D0A">
        <w:rPr>
          <w:rFonts w:ascii="Palatino Linotype" w:hAnsi="Palatino Linotype"/>
          <w:sz w:val="28"/>
          <w:szCs w:val="28"/>
        </w:rPr>
        <w:tab/>
      </w:r>
      <w:r w:rsidR="00173D0A">
        <w:rPr>
          <w:rFonts w:ascii="Palatino Linotype" w:hAnsi="Palatino Linotype"/>
          <w:sz w:val="28"/>
          <w:szCs w:val="28"/>
        </w:rPr>
        <w:tab/>
      </w:r>
      <w:r w:rsidR="00173D0A">
        <w:rPr>
          <w:rFonts w:ascii="Palatino Linotype" w:hAnsi="Palatino Linotype"/>
          <w:sz w:val="28"/>
          <w:szCs w:val="28"/>
        </w:rPr>
        <w:tab/>
      </w:r>
      <w:r w:rsidR="00173D0A">
        <w:rPr>
          <w:rFonts w:ascii="Palatino Linotype" w:hAnsi="Palatino Linotype"/>
          <w:sz w:val="28"/>
          <w:szCs w:val="28"/>
        </w:rPr>
        <w:tab/>
      </w:r>
      <w:r w:rsidR="00173D0A" w:rsidRPr="00173D0A">
        <w:rPr>
          <w:rFonts w:ascii="Palatino Linotype" w:hAnsi="Palatino Linotype"/>
          <w:sz w:val="28"/>
          <w:szCs w:val="28"/>
        </w:rPr>
        <w:t>Pati road U/C Shahdadkot-I Mile 0/0-0/7+330' (1.50 KMs).</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7F4CAF">
        <w:rPr>
          <w:rFonts w:ascii="Palatino Linotype" w:hAnsi="Palatino Linotype"/>
          <w:b/>
          <w:bCs/>
          <w:sz w:val="28"/>
          <w:szCs w:val="28"/>
        </w:rPr>
        <w:t>495</w:t>
      </w:r>
      <w:r w:rsidRPr="006914EB">
        <w:rPr>
          <w:rFonts w:ascii="Palatino Linotype" w:hAnsi="Palatino Linotype"/>
          <w:b/>
          <w:bCs/>
          <w:sz w:val="28"/>
          <w:szCs w:val="28"/>
        </w:rPr>
        <w:tab/>
        <w:t>Dated: 0</w:t>
      </w:r>
      <w:r w:rsidR="007F4CAF">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7F4CAF"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02</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7F4CAF"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173D0A">
        <w:rPr>
          <w:rFonts w:ascii="Palatino Linotype" w:hAnsi="Palatino Linotype"/>
          <w:b/>
          <w:sz w:val="28"/>
          <w:szCs w:val="28"/>
          <w:u w:val="single"/>
        </w:rPr>
        <w:t>9</w:t>
      </w:r>
    </w:p>
    <w:p w:rsidR="00034B6C" w:rsidRDefault="00034B6C" w:rsidP="00034B6C">
      <w:pPr>
        <w:spacing w:after="0" w:line="240" w:lineRule="auto"/>
        <w:jc w:val="center"/>
        <w:rPr>
          <w:rFonts w:ascii="Palatino Linotype" w:hAnsi="Palatino Linotype"/>
          <w:b/>
          <w:sz w:val="24"/>
          <w:szCs w:val="24"/>
          <w:u w:val="single"/>
        </w:rPr>
      </w:pPr>
    </w:p>
    <w:p w:rsidR="0063471C" w:rsidRDefault="0063471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173D0A" w:rsidRDefault="00173D0A"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173D0A" w:rsidP="00BB1B3E">
            <w:pPr>
              <w:pStyle w:val="BodyTextIndent3"/>
              <w:ind w:left="0"/>
              <w:rPr>
                <w:rFonts w:ascii="Palatino Linotype" w:hAnsi="Palatino Linotype"/>
                <w:b/>
                <w:bCs/>
                <w:sz w:val="20"/>
                <w:szCs w:val="22"/>
              </w:rPr>
            </w:pPr>
            <w:r w:rsidRPr="00173D0A">
              <w:rPr>
                <w:rFonts w:ascii="Palatino Linotype" w:hAnsi="Palatino Linotype"/>
                <w:b/>
                <w:sz w:val="20"/>
                <w:szCs w:val="22"/>
              </w:rPr>
              <w:t>Construction of link road from Green Star Hotel via Lakh Pati road U/C Shahdadkot-I Mile 0/0-0/7+330' (1.50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CE128F">
              <w:rPr>
                <w:rFonts w:ascii="Palatino Linotype" w:hAnsi="Palatino Linotype"/>
                <w:b/>
                <w:sz w:val="18"/>
                <w:szCs w:val="22"/>
              </w:rPr>
              <w:t>28.868</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7F4CAF">
              <w:rPr>
                <w:rFonts w:ascii="Palatino Linotype" w:hAnsi="Palatino Linotype"/>
                <w:b/>
                <w:sz w:val="20"/>
                <w:szCs w:val="22"/>
              </w:rPr>
              <w:t>3</w:t>
            </w:r>
            <w:r>
              <w:rPr>
                <w:rFonts w:ascii="Palatino Linotype" w:hAnsi="Palatino Linotype"/>
                <w:b/>
                <w:sz w:val="20"/>
                <w:szCs w:val="22"/>
              </w:rPr>
              <w:t>.0</w:t>
            </w:r>
            <w:r w:rsidR="007F4CAF">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w:t>
            </w:r>
            <w:r w:rsidR="007F4CAF">
              <w:rPr>
                <w:rFonts w:ascii="Palatino Linotype" w:hAnsi="Palatino Linotype"/>
                <w:b/>
                <w:sz w:val="20"/>
                <w:szCs w:val="22"/>
              </w:rPr>
              <w:t>3</w:t>
            </w:r>
            <w:r>
              <w:rPr>
                <w:rFonts w:ascii="Palatino Linotype" w:hAnsi="Palatino Linotype"/>
                <w:b/>
                <w:sz w:val="20"/>
                <w:szCs w:val="22"/>
              </w:rPr>
              <w:t>.0</w:t>
            </w:r>
            <w:r w:rsidR="007F4CAF">
              <w:rPr>
                <w:rFonts w:ascii="Palatino Linotype" w:hAnsi="Palatino Linotype"/>
                <w:b/>
                <w:sz w:val="20"/>
                <w:szCs w:val="22"/>
              </w:rPr>
              <w:t>3</w:t>
            </w:r>
            <w:r>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142" w:rsidRDefault="00BB6142" w:rsidP="004A37F2">
      <w:pPr>
        <w:spacing w:after="0" w:line="240" w:lineRule="auto"/>
      </w:pPr>
      <w:r>
        <w:separator/>
      </w:r>
    </w:p>
  </w:endnote>
  <w:endnote w:type="continuationSeparator" w:id="1">
    <w:p w:rsidR="00BB6142" w:rsidRDefault="00BB6142"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142" w:rsidRDefault="00BB6142" w:rsidP="004A37F2">
      <w:pPr>
        <w:spacing w:after="0" w:line="240" w:lineRule="auto"/>
      </w:pPr>
      <w:r>
        <w:separator/>
      </w:r>
    </w:p>
  </w:footnote>
  <w:footnote w:type="continuationSeparator" w:id="1">
    <w:p w:rsidR="00BB6142" w:rsidRDefault="00BB6142"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73D0A"/>
    <w:rsid w:val="001825CC"/>
    <w:rsid w:val="001908DE"/>
    <w:rsid w:val="00191BF9"/>
    <w:rsid w:val="0019240C"/>
    <w:rsid w:val="001966D9"/>
    <w:rsid w:val="001B04E3"/>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E32B2"/>
    <w:rsid w:val="003E3FA7"/>
    <w:rsid w:val="003F4CA9"/>
    <w:rsid w:val="003F78CB"/>
    <w:rsid w:val="003F7988"/>
    <w:rsid w:val="00407CB7"/>
    <w:rsid w:val="004124F9"/>
    <w:rsid w:val="00422D57"/>
    <w:rsid w:val="004244CD"/>
    <w:rsid w:val="00450A27"/>
    <w:rsid w:val="0045408B"/>
    <w:rsid w:val="004549BD"/>
    <w:rsid w:val="00463913"/>
    <w:rsid w:val="00473CF1"/>
    <w:rsid w:val="00480D75"/>
    <w:rsid w:val="00491793"/>
    <w:rsid w:val="004937C5"/>
    <w:rsid w:val="004A37F2"/>
    <w:rsid w:val="004B3E32"/>
    <w:rsid w:val="004B6D2C"/>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20EF"/>
    <w:rsid w:val="005D4AA7"/>
    <w:rsid w:val="005D4BA2"/>
    <w:rsid w:val="005E0FCF"/>
    <w:rsid w:val="005E3F78"/>
    <w:rsid w:val="00601937"/>
    <w:rsid w:val="006036D9"/>
    <w:rsid w:val="00606F56"/>
    <w:rsid w:val="0061043F"/>
    <w:rsid w:val="006211EC"/>
    <w:rsid w:val="0063471C"/>
    <w:rsid w:val="00653EE1"/>
    <w:rsid w:val="006618C6"/>
    <w:rsid w:val="00666D28"/>
    <w:rsid w:val="00667B43"/>
    <w:rsid w:val="006768FF"/>
    <w:rsid w:val="00680B0C"/>
    <w:rsid w:val="006914EB"/>
    <w:rsid w:val="00692927"/>
    <w:rsid w:val="006A0825"/>
    <w:rsid w:val="006A226F"/>
    <w:rsid w:val="006B668B"/>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4CAF"/>
    <w:rsid w:val="007F67B5"/>
    <w:rsid w:val="00804612"/>
    <w:rsid w:val="008069B1"/>
    <w:rsid w:val="00813B0E"/>
    <w:rsid w:val="00814951"/>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B6142"/>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E128F"/>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37EFA"/>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8251</Words>
  <Characters>47031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6</cp:revision>
  <cp:lastPrinted>2016-02-03T16:56:00Z</cp:lastPrinted>
  <dcterms:created xsi:type="dcterms:W3CDTF">2016-02-03T13:16:00Z</dcterms:created>
  <dcterms:modified xsi:type="dcterms:W3CDTF">2016-02-03T16:56:00Z</dcterms:modified>
</cp:coreProperties>
</file>