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75308B">
              <w:rPr>
                <w:sz w:val="22"/>
              </w:rPr>
              <w:t>Endo-Kare, Importer &amp; Exporter</w:t>
            </w:r>
            <w:r w:rsidR="0013735B">
              <w:rPr>
                <w:sz w:val="22"/>
              </w:rPr>
              <w:t xml:space="preserve"> Karachi, Sindh.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B603E9" w:rsidRDefault="0075308B" w:rsidP="007A593A">
            <w:pPr>
              <w:ind w:left="0" w:firstLine="0"/>
              <w:jc w:val="left"/>
            </w:pPr>
            <w:r>
              <w:t>H.No.56-Q, PECHS, Block-2, Karachi,   021-34526671</w:t>
            </w: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AE363A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Photocopy</w:t>
            </w: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AE603B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AE603B"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AE603B" w:rsidP="00AE603B">
            <w:pPr>
              <w:jc w:val="both"/>
            </w:pPr>
            <w: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AE363A">
            <w:r>
              <w:t>No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AE603B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AE603B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8F48E4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D8260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1C1EE0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6019C6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D8260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D8260C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6019C6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D8260C" w:rsidP="00096D8F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12795F" w:rsidRDefault="0012795F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DC163A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0D062D" w:rsidRDefault="000D062D" w:rsidP="000D062D">
      <w:pPr>
        <w:ind w:firstLine="0"/>
        <w:jc w:val="both"/>
      </w:pPr>
      <w:r w:rsidRPr="00BA0579">
        <w:t xml:space="preserve">After the complete scrutinizing of documents submitted by M/S </w:t>
      </w:r>
      <w:r w:rsidR="00B710A1">
        <w:t>Endo-Kare</w:t>
      </w:r>
      <w:r w:rsidRPr="00BA0579">
        <w:t xml:space="preserve">, technical committee </w:t>
      </w:r>
      <w:r>
        <w:t>observed that the said company is fulfill</w:t>
      </w:r>
      <w:r w:rsidR="007C33CE">
        <w:t>ing the</w:t>
      </w:r>
      <w:r>
        <w:t xml:space="preserve"> required bidder eligibility criteria, hence the bid of M/S </w:t>
      </w:r>
      <w:r w:rsidR="00B710A1">
        <w:t>Endo-Kare</w:t>
      </w:r>
      <w:r>
        <w:t xml:space="preserve"> has been technically </w:t>
      </w:r>
      <w:r w:rsidR="00DC163A">
        <w:t>accepted.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CCC" w:rsidRDefault="00AD3CCC" w:rsidP="009C2DD8">
      <w:r>
        <w:separator/>
      </w:r>
    </w:p>
  </w:endnote>
  <w:endnote w:type="continuationSeparator" w:id="1">
    <w:p w:rsidR="00AD3CCC" w:rsidRDefault="00AD3CCC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CCC" w:rsidRDefault="00AD3CCC" w:rsidP="009C2DD8">
      <w:r>
        <w:separator/>
      </w:r>
    </w:p>
  </w:footnote>
  <w:footnote w:type="continuationSeparator" w:id="1">
    <w:p w:rsidR="00AD3CCC" w:rsidRDefault="00AD3CCC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F22C6A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F22C6A">
          <w:rPr>
            <w:b/>
            <w:szCs w:val="24"/>
          </w:rPr>
          <w:fldChar w:fldCharType="separate"/>
        </w:r>
        <w:r w:rsidR="00AC3524">
          <w:rPr>
            <w:b/>
            <w:noProof/>
          </w:rPr>
          <w:t>1</w:t>
        </w:r>
        <w:r w:rsidR="00F22C6A">
          <w:rPr>
            <w:b/>
            <w:szCs w:val="24"/>
          </w:rPr>
          <w:fldChar w:fldCharType="end"/>
        </w:r>
        <w:r>
          <w:t xml:space="preserve"> of </w:t>
        </w:r>
        <w:r w:rsidR="00F22C6A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F22C6A">
          <w:rPr>
            <w:b/>
            <w:szCs w:val="24"/>
          </w:rPr>
          <w:fldChar w:fldCharType="separate"/>
        </w:r>
        <w:r w:rsidR="00AC3524">
          <w:rPr>
            <w:b/>
            <w:noProof/>
          </w:rPr>
          <w:t>3</w:t>
        </w:r>
        <w:r w:rsidR="00F22C6A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096D8F"/>
    <w:rsid w:val="000A2A47"/>
    <w:rsid w:val="000D062D"/>
    <w:rsid w:val="00124228"/>
    <w:rsid w:val="0012795F"/>
    <w:rsid w:val="0013735B"/>
    <w:rsid w:val="001C1EE0"/>
    <w:rsid w:val="00200F00"/>
    <w:rsid w:val="002043CD"/>
    <w:rsid w:val="00230CBC"/>
    <w:rsid w:val="002B6FAE"/>
    <w:rsid w:val="00354C40"/>
    <w:rsid w:val="0037641D"/>
    <w:rsid w:val="003C34CF"/>
    <w:rsid w:val="004021CA"/>
    <w:rsid w:val="00416033"/>
    <w:rsid w:val="004F5158"/>
    <w:rsid w:val="00535A6A"/>
    <w:rsid w:val="006019C6"/>
    <w:rsid w:val="0061348D"/>
    <w:rsid w:val="006E7669"/>
    <w:rsid w:val="00727924"/>
    <w:rsid w:val="0073641E"/>
    <w:rsid w:val="0075308B"/>
    <w:rsid w:val="00757264"/>
    <w:rsid w:val="007C3324"/>
    <w:rsid w:val="007C33CE"/>
    <w:rsid w:val="007F4E5D"/>
    <w:rsid w:val="00817E4E"/>
    <w:rsid w:val="00835F00"/>
    <w:rsid w:val="00861661"/>
    <w:rsid w:val="008B50FC"/>
    <w:rsid w:val="008D7757"/>
    <w:rsid w:val="008F48E4"/>
    <w:rsid w:val="0091338D"/>
    <w:rsid w:val="00995C42"/>
    <w:rsid w:val="009C2DD8"/>
    <w:rsid w:val="00A30789"/>
    <w:rsid w:val="00A40929"/>
    <w:rsid w:val="00A87AC1"/>
    <w:rsid w:val="00AC3524"/>
    <w:rsid w:val="00AD3CCC"/>
    <w:rsid w:val="00AE363A"/>
    <w:rsid w:val="00AE603B"/>
    <w:rsid w:val="00AE7916"/>
    <w:rsid w:val="00B034C0"/>
    <w:rsid w:val="00B258BE"/>
    <w:rsid w:val="00B53231"/>
    <w:rsid w:val="00B710A1"/>
    <w:rsid w:val="00B83B1D"/>
    <w:rsid w:val="00BA0579"/>
    <w:rsid w:val="00C36116"/>
    <w:rsid w:val="00C83EBB"/>
    <w:rsid w:val="00CE306E"/>
    <w:rsid w:val="00D8260C"/>
    <w:rsid w:val="00DC163A"/>
    <w:rsid w:val="00DF1580"/>
    <w:rsid w:val="00E476EC"/>
    <w:rsid w:val="00E52297"/>
    <w:rsid w:val="00E55391"/>
    <w:rsid w:val="00F17A8E"/>
    <w:rsid w:val="00F20B1F"/>
    <w:rsid w:val="00F22C6A"/>
    <w:rsid w:val="00FA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18</cp:revision>
  <cp:lastPrinted>2017-05-17T09:44:00Z</cp:lastPrinted>
  <dcterms:created xsi:type="dcterms:W3CDTF">2017-05-15T08:49:00Z</dcterms:created>
  <dcterms:modified xsi:type="dcterms:W3CDTF">2017-05-17T09:45:00Z</dcterms:modified>
</cp:coreProperties>
</file>