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Tender for Supply of Medical Equipment, Plant &amp; Machinery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050998" w:rsidP="007A593A">
            <w:pPr>
              <w:ind w:left="0" w:firstLine="0"/>
              <w:jc w:val="left"/>
            </w:pPr>
            <w:r>
              <w:rPr>
                <w:sz w:val="22"/>
              </w:rPr>
              <w:t xml:space="preserve">M/S </w:t>
            </w:r>
            <w:r w:rsidR="0013735B">
              <w:rPr>
                <w:sz w:val="22"/>
              </w:rPr>
              <w:t>Medline Technologies Pvt. Ltd. Karachi, Sindh.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Pr="00B603E9" w:rsidRDefault="0013735B" w:rsidP="007A593A">
            <w:pPr>
              <w:ind w:left="0" w:firstLine="0"/>
              <w:jc w:val="left"/>
            </w:pPr>
            <w:r>
              <w:t>95-G, Block-2, PECHS, Karachi,  021-34311486</w:t>
            </w: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8F48E4"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Original Equipment Manufacturer (</w:t>
            </w:r>
            <w:r w:rsidRPr="00DF2B03">
              <w:rPr>
                <w:b/>
                <w:sz w:val="22"/>
              </w:rPr>
              <w:t>OEM</w:t>
            </w:r>
            <w:r>
              <w:rPr>
                <w:b/>
                <w:sz w:val="22"/>
              </w:rPr>
              <w:t>) or B</w:t>
            </w:r>
            <w:r w:rsidRPr="00DF2B03">
              <w:rPr>
                <w:b/>
                <w:sz w:val="22"/>
              </w:rPr>
              <w:t xml:space="preserve">rand </w:t>
            </w:r>
            <w:r>
              <w:rPr>
                <w:b/>
                <w:sz w:val="22"/>
              </w:rPr>
              <w:t>Q</w:t>
            </w:r>
            <w:r w:rsidRPr="00DF2B03">
              <w:rPr>
                <w:b/>
                <w:sz w:val="22"/>
              </w:rPr>
              <w:t>uoted</w:t>
            </w:r>
            <w:r>
              <w:rPr>
                <w:b/>
                <w:sz w:val="22"/>
              </w:rPr>
              <w:t>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 / FDA / JIS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local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international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2043CD" w:rsidRDefault="002043CD" w:rsidP="0091338D">
      <w:pPr>
        <w:spacing w:before="120"/>
        <w:ind w:left="0" w:firstLine="0"/>
        <w:jc w:val="both"/>
        <w:rPr>
          <w:sz w:val="20"/>
          <w:u w:val="single"/>
        </w:rPr>
      </w:pPr>
    </w:p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A87AC1" w:rsidRPr="00E52297" w:rsidRDefault="00A87AC1" w:rsidP="00A87AC1">
      <w:pPr>
        <w:rPr>
          <w:b/>
          <w:sz w:val="32"/>
          <w:szCs w:val="40"/>
          <w:u w:val="single"/>
        </w:rPr>
      </w:pPr>
      <w:r w:rsidRPr="00E52297">
        <w:rPr>
          <w:b/>
          <w:sz w:val="32"/>
          <w:szCs w:val="40"/>
          <w:u w:val="single"/>
        </w:rPr>
        <w:lastRenderedPageBreak/>
        <w:t>Bidder Evaluation Criteria</w:t>
      </w:r>
    </w:p>
    <w:p w:rsidR="008B50FC" w:rsidRPr="00A93FA7" w:rsidRDefault="008B50FC" w:rsidP="00A87AC1">
      <w:pPr>
        <w:rPr>
          <w:b/>
          <w:sz w:val="26"/>
          <w:szCs w:val="40"/>
          <w:u w:val="single"/>
        </w:rPr>
      </w:pPr>
    </w:p>
    <w:p w:rsidR="00817E4E" w:rsidRDefault="00817E4E" w:rsidP="00817E4E">
      <w:pPr>
        <w:spacing w:before="120" w:after="120"/>
        <w:ind w:left="0" w:firstLine="0"/>
        <w:jc w:val="both"/>
        <w:rPr>
          <w:sz w:val="20"/>
          <w:szCs w:val="20"/>
        </w:rPr>
      </w:pPr>
      <w:r w:rsidRPr="000A369C">
        <w:rPr>
          <w:sz w:val="22"/>
        </w:rPr>
        <w:t>T</w:t>
      </w:r>
      <w:r w:rsidRPr="00A93FA7">
        <w:rPr>
          <w:sz w:val="20"/>
          <w:szCs w:val="20"/>
        </w:rPr>
        <w:t>he following merit point system for weighing evaluation criteria will be applied for technical proposals.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7471"/>
        <w:gridCol w:w="776"/>
        <w:gridCol w:w="751"/>
      </w:tblGrid>
      <w:tr w:rsidR="00817E4E" w:rsidRPr="00A93FA7" w:rsidTr="00416033">
        <w:trPr>
          <w:trHeight w:val="474"/>
        </w:trPr>
        <w:tc>
          <w:tcPr>
            <w:tcW w:w="50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747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77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Max Points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Points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Conformity to the Technical Specifications</w:t>
            </w:r>
          </w:p>
        </w:tc>
        <w:tc>
          <w:tcPr>
            <w:tcW w:w="77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Fully compliant with the required specifications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20</w:t>
            </w:r>
          </w:p>
        </w:tc>
        <w:tc>
          <w:tcPr>
            <w:tcW w:w="751" w:type="dxa"/>
            <w:vAlign w:val="center"/>
          </w:tcPr>
          <w:p w:rsidR="00817E4E" w:rsidRPr="00A93FA7" w:rsidRDefault="009D3AB8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Compliant with minor deviation ≤10% (subject to main function is not affected)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15</w:t>
            </w:r>
          </w:p>
        </w:tc>
        <w:tc>
          <w:tcPr>
            <w:tcW w:w="751" w:type="dxa"/>
            <w:vAlign w:val="center"/>
          </w:tcPr>
          <w:p w:rsidR="00817E4E" w:rsidRPr="00A93FA7" w:rsidRDefault="009D3AB8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Warranty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more than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9D3AB8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as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1C1EE0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Financial Status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Bank Certificate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Financial Turnover: 25 million and above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vAlign w:val="center"/>
          </w:tcPr>
          <w:p w:rsidR="00817E4E" w:rsidRPr="00A93FA7" w:rsidRDefault="009D3AB8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Below 25 (M) to 20 (M)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8</w:t>
            </w:r>
          </w:p>
        </w:tc>
        <w:tc>
          <w:tcPr>
            <w:tcW w:w="751" w:type="dxa"/>
            <w:vAlign w:val="center"/>
          </w:tcPr>
          <w:p w:rsidR="00817E4E" w:rsidRPr="00A93FA7" w:rsidRDefault="001C1EE0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 xml:space="preserve">Below 5 (M)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82128F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Income Tax Return for annual business of ≥ 20 million rupees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A87AC1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Audited Financial Statement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After Sales Services in Sindh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Service Workshop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Qualified &amp; Trained Personnel (BE/BSc/DAE) with Bio-Data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Original Equipment Manufacturer (OEM) or Brand Quoted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Manufacturer’s Website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Brochure or Catalogue (original)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FDA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4</w:t>
            </w:r>
          </w:p>
        </w:tc>
        <w:tc>
          <w:tcPr>
            <w:tcW w:w="751" w:type="dxa"/>
            <w:vAlign w:val="center"/>
          </w:tcPr>
          <w:p w:rsidR="00817E4E" w:rsidRPr="00A93FA7" w:rsidRDefault="009D3AB8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JIS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9D3AB8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References of OEM brand / model &amp;</w:t>
            </w:r>
            <w:r>
              <w:rPr>
                <w:sz w:val="20"/>
                <w:szCs w:val="20"/>
              </w:rPr>
              <w:t xml:space="preserve"> Experience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at about 3 to 5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9D3AB8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less then 3 or 2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1C1EE0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Government / Semi-Government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Armed Forces / NGOs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Private Renowned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International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9D3AB8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7E4E" w:rsidRPr="00290D7A" w:rsidTr="00416033">
        <w:trPr>
          <w:trHeight w:val="317"/>
        </w:trPr>
        <w:tc>
          <w:tcPr>
            <w:tcW w:w="7977" w:type="dxa"/>
            <w:gridSpan w:val="2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POINTS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2128F" w:rsidP="002043CD">
            <w:pPr>
              <w:spacing w:line="48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</w:tr>
    </w:tbl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B5466B" w:rsidRDefault="00B5466B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1C1EE0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Default="00727924" w:rsidP="00BA0579">
      <w:pPr>
        <w:jc w:val="both"/>
      </w:pPr>
    </w:p>
    <w:p w:rsidR="00BA0579" w:rsidRDefault="00BA0579" w:rsidP="00BA0579">
      <w:pPr>
        <w:jc w:val="both"/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0D062D" w:rsidRDefault="000D062D" w:rsidP="000D062D">
      <w:pPr>
        <w:ind w:firstLine="0"/>
        <w:jc w:val="both"/>
      </w:pPr>
      <w:r w:rsidRPr="00BA0579">
        <w:t xml:space="preserve">After the complete scrutinizing of documents submitted by M/S </w:t>
      </w:r>
      <w:r>
        <w:t>Medline Technologies</w:t>
      </w:r>
      <w:r w:rsidRPr="00BA0579">
        <w:t xml:space="preserve">, technical committee </w:t>
      </w:r>
      <w:r>
        <w:t>observed that the said company is not fulfill</w:t>
      </w:r>
      <w:r w:rsidR="006F3339">
        <w:t xml:space="preserve">ing the </w:t>
      </w:r>
      <w:r>
        <w:t>required bidder eligibility criteria, hence the bid of M/S Medline Technologie</w:t>
      </w:r>
      <w:r w:rsidR="006F3339">
        <w:t>s has been technically rejected</w:t>
      </w:r>
      <w:r>
        <w:t>.</w:t>
      </w:r>
    </w:p>
    <w:p w:rsidR="00BA0579" w:rsidRPr="00A40929" w:rsidRDefault="00BA0579" w:rsidP="00BA0579">
      <w:pPr>
        <w:ind w:firstLine="0"/>
        <w:jc w:val="both"/>
        <w:rPr>
          <w:sz w:val="10"/>
        </w:rPr>
      </w:pPr>
    </w:p>
    <w:p w:rsidR="00B83B1D" w:rsidRDefault="00B83B1D" w:rsidP="00B83B1D">
      <w:pPr>
        <w:jc w:val="both"/>
        <w:rPr>
          <w:b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185F04" w:rsidRDefault="00B83B1D" w:rsidP="00B83B1D">
      <w:pPr>
        <w:jc w:val="both"/>
        <w:rPr>
          <w:sz w:val="14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44262A" w:rsidRDefault="009C2DD8" w:rsidP="00B83B1D">
      <w:pPr>
        <w:jc w:val="both"/>
        <w:rPr>
          <w:b/>
          <w:sz w:val="10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Default="009C2DD8" w:rsidP="00B83B1D">
      <w:pPr>
        <w:jc w:val="both"/>
        <w:rPr>
          <w:b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Default="009C2DD8" w:rsidP="007A593A">
            <w:pPr>
              <w:jc w:val="both"/>
              <w:rPr>
                <w:b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3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BA0579" w:rsidRDefault="00B83B1D" w:rsidP="00BA0579">
      <w:pPr>
        <w:ind w:firstLine="0"/>
        <w:jc w:val="both"/>
      </w:pPr>
    </w:p>
    <w:sectPr w:rsidR="00B83B1D" w:rsidRPr="00BA0579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E4F" w:rsidRDefault="00983E4F" w:rsidP="009C2DD8">
      <w:r>
        <w:separator/>
      </w:r>
    </w:p>
  </w:endnote>
  <w:endnote w:type="continuationSeparator" w:id="1">
    <w:p w:rsidR="00983E4F" w:rsidRDefault="00983E4F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E4F" w:rsidRDefault="00983E4F" w:rsidP="009C2DD8">
      <w:r>
        <w:separator/>
      </w:r>
    </w:p>
  </w:footnote>
  <w:footnote w:type="continuationSeparator" w:id="1">
    <w:p w:rsidR="00983E4F" w:rsidRDefault="00983E4F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4876F2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4876F2">
          <w:rPr>
            <w:b/>
            <w:szCs w:val="24"/>
          </w:rPr>
          <w:fldChar w:fldCharType="separate"/>
        </w:r>
        <w:r w:rsidR="00E94E3A">
          <w:rPr>
            <w:b/>
            <w:noProof/>
          </w:rPr>
          <w:t>3</w:t>
        </w:r>
        <w:r w:rsidR="004876F2">
          <w:rPr>
            <w:b/>
            <w:szCs w:val="24"/>
          </w:rPr>
          <w:fldChar w:fldCharType="end"/>
        </w:r>
        <w:r>
          <w:t xml:space="preserve"> of </w:t>
        </w:r>
        <w:r w:rsidR="004876F2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4876F2">
          <w:rPr>
            <w:b/>
            <w:szCs w:val="24"/>
          </w:rPr>
          <w:fldChar w:fldCharType="separate"/>
        </w:r>
        <w:r w:rsidR="00E94E3A">
          <w:rPr>
            <w:b/>
            <w:noProof/>
          </w:rPr>
          <w:t>3</w:t>
        </w:r>
        <w:r w:rsidR="004876F2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50998"/>
    <w:rsid w:val="000D062D"/>
    <w:rsid w:val="00114F62"/>
    <w:rsid w:val="00124228"/>
    <w:rsid w:val="0013735B"/>
    <w:rsid w:val="001C1EE0"/>
    <w:rsid w:val="00200F00"/>
    <w:rsid w:val="002043CD"/>
    <w:rsid w:val="002B6FAE"/>
    <w:rsid w:val="00354C40"/>
    <w:rsid w:val="0037641D"/>
    <w:rsid w:val="003C34CF"/>
    <w:rsid w:val="00416033"/>
    <w:rsid w:val="00432B70"/>
    <w:rsid w:val="004876F2"/>
    <w:rsid w:val="00535A6A"/>
    <w:rsid w:val="005F2721"/>
    <w:rsid w:val="00637E9F"/>
    <w:rsid w:val="00683216"/>
    <w:rsid w:val="006F3339"/>
    <w:rsid w:val="00727924"/>
    <w:rsid w:val="0073641E"/>
    <w:rsid w:val="00757264"/>
    <w:rsid w:val="007726A4"/>
    <w:rsid w:val="007C3324"/>
    <w:rsid w:val="007F4E5D"/>
    <w:rsid w:val="00817E4E"/>
    <w:rsid w:val="0082128F"/>
    <w:rsid w:val="008B50FC"/>
    <w:rsid w:val="008D7757"/>
    <w:rsid w:val="008F48E4"/>
    <w:rsid w:val="0091338D"/>
    <w:rsid w:val="00983E4F"/>
    <w:rsid w:val="00995C42"/>
    <w:rsid w:val="009C2DD8"/>
    <w:rsid w:val="009D3AB8"/>
    <w:rsid w:val="00A40929"/>
    <w:rsid w:val="00A87AC1"/>
    <w:rsid w:val="00B258BE"/>
    <w:rsid w:val="00B53231"/>
    <w:rsid w:val="00B5466B"/>
    <w:rsid w:val="00B83B1D"/>
    <w:rsid w:val="00BA0579"/>
    <w:rsid w:val="00BE359A"/>
    <w:rsid w:val="00C36116"/>
    <w:rsid w:val="00C543A5"/>
    <w:rsid w:val="00C83EBB"/>
    <w:rsid w:val="00CC223C"/>
    <w:rsid w:val="00CE306E"/>
    <w:rsid w:val="00DD3DB4"/>
    <w:rsid w:val="00DE3A7B"/>
    <w:rsid w:val="00DF1580"/>
    <w:rsid w:val="00E476EC"/>
    <w:rsid w:val="00E52297"/>
    <w:rsid w:val="00E55391"/>
    <w:rsid w:val="00E94E3A"/>
    <w:rsid w:val="00F17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15</cp:revision>
  <cp:lastPrinted>2017-05-17T09:46:00Z</cp:lastPrinted>
  <dcterms:created xsi:type="dcterms:W3CDTF">2017-05-15T07:28:00Z</dcterms:created>
  <dcterms:modified xsi:type="dcterms:W3CDTF">2017-05-17T09:46:00Z</dcterms:modified>
</cp:coreProperties>
</file>