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027C69"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87.05pt;height:24pt;z-index:251669504;mso-width-relative:margin;mso-height-relative:margin" strokecolor="white">
            <v:textbox style="mso-next-textbox:#_x0000_s1030">
              <w:txbxContent>
                <w:p w:rsidR="00C335D6" w:rsidRPr="00C335D6" w:rsidRDefault="00C335D6" w:rsidP="00614FEF">
                  <w:pPr>
                    <w:rPr>
                      <w:b/>
                      <w:bCs/>
                      <w:sz w:val="28"/>
                      <w:szCs w:val="28"/>
                    </w:rPr>
                  </w:pPr>
                  <w:r w:rsidRPr="00C335D6">
                    <w:rPr>
                      <w:b/>
                      <w:bCs/>
                      <w:sz w:val="28"/>
                      <w:szCs w:val="28"/>
                    </w:rPr>
                    <w:t xml:space="preserve">Package - </w:t>
                  </w:r>
                  <w:r w:rsidR="00614FEF">
                    <w:rPr>
                      <w:b/>
                      <w:bCs/>
                      <w:sz w:val="28"/>
                      <w:szCs w:val="28"/>
                    </w:rPr>
                    <w:t>2</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027C69">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027C69" w:rsidP="000539DA">
      <w:pPr>
        <w:spacing w:after="0" w:line="240" w:lineRule="auto"/>
      </w:pPr>
      <w:r w:rsidRPr="00027C69">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A63B4F">
        <w:rPr>
          <w:rFonts w:ascii="Arial Black" w:hAnsi="Arial Black"/>
          <w:b/>
          <w:sz w:val="56"/>
          <w:szCs w:val="34"/>
          <w:u w:val="single"/>
        </w:rPr>
        <w:t>SPPRA BID</w:t>
      </w:r>
      <w:r w:rsidR="00E71CB8" w:rsidRPr="00A63B4F">
        <w:rPr>
          <w:rFonts w:ascii="Arial Black" w:hAnsi="Arial Black"/>
          <w:b/>
          <w:sz w:val="56"/>
          <w:szCs w:val="34"/>
          <w:u w:val="single"/>
        </w:rPr>
        <w:t>D</w:t>
      </w:r>
      <w:r w:rsidRPr="00A63B4F">
        <w:rPr>
          <w:rFonts w:ascii="Arial Black" w:hAnsi="Arial Black"/>
          <w:b/>
          <w:sz w:val="56"/>
          <w:szCs w:val="34"/>
          <w:u w:val="single"/>
        </w:rPr>
        <w:t>ING DOCUMENT</w:t>
      </w:r>
    </w:p>
    <w:p w:rsidR="00A15F1B" w:rsidRPr="00A15F1B" w:rsidRDefault="00A15F1B" w:rsidP="00C80948">
      <w:pPr>
        <w:spacing w:after="0" w:line="240" w:lineRule="auto"/>
        <w:jc w:val="center"/>
        <w:rPr>
          <w:rFonts w:ascii="Arial Black" w:hAnsi="Arial Black"/>
          <w:b/>
          <w:sz w:val="10"/>
          <w:szCs w:val="2"/>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0539DA" w:rsidRPr="00640F81" w:rsidRDefault="000539DA" w:rsidP="00640F81">
      <w:pPr>
        <w:spacing w:after="0" w:line="240" w:lineRule="auto"/>
        <w:ind w:left="2880" w:hanging="2880"/>
        <w:jc w:val="both"/>
        <w:rPr>
          <w:rFonts w:ascii="Arial" w:hAnsi="Arial" w:cs="Arial"/>
          <w:b/>
          <w:bCs/>
          <w:sz w:val="74"/>
          <w:szCs w:val="52"/>
        </w:rPr>
      </w:pPr>
      <w:r w:rsidRPr="007A7D65">
        <w:rPr>
          <w:b/>
          <w:sz w:val="32"/>
          <w:szCs w:val="32"/>
          <w:u w:val="single"/>
        </w:rPr>
        <w:t>NAME OF WORK:</w:t>
      </w:r>
      <w:r w:rsidRPr="007A7D65">
        <w:rPr>
          <w:b/>
          <w:sz w:val="32"/>
          <w:szCs w:val="32"/>
        </w:rPr>
        <w:tab/>
      </w:r>
      <w:r w:rsidR="00640F81" w:rsidRPr="00640F81">
        <w:rPr>
          <w:b/>
          <w:bCs/>
          <w:sz w:val="32"/>
          <w:szCs w:val="32"/>
        </w:rPr>
        <w:t>REHABILITATION / INSTALLATION OF NEW PUMPS @ LARKANA NORTH (SHAHMIR), LARKANA SOUTH (MASHORI) &amp; NAUDERO (MAHOTA) PUMPING STATIONS.</w:t>
      </w:r>
      <w:r w:rsidR="00640F81" w:rsidRPr="00640F81">
        <w:rPr>
          <w:b/>
          <w:bCs/>
          <w:sz w:val="42"/>
          <w:szCs w:val="42"/>
        </w:rPr>
        <w:t xml:space="preserve">  </w:t>
      </w:r>
    </w:p>
    <w:p w:rsidR="001D2035" w:rsidRDefault="001D2035" w:rsidP="000539DA">
      <w:pPr>
        <w:spacing w:after="0" w:line="240" w:lineRule="auto"/>
        <w:rPr>
          <w:b/>
          <w:sz w:val="36"/>
        </w:rPr>
      </w:pPr>
    </w:p>
    <w:p w:rsidR="001D2035" w:rsidRDefault="00C46261" w:rsidP="000539DA">
      <w:pPr>
        <w:spacing w:after="0" w:line="240" w:lineRule="auto"/>
        <w:rPr>
          <w:b/>
          <w:sz w:val="36"/>
        </w:rPr>
      </w:pPr>
      <w:r w:rsidRPr="00C46261">
        <w:rPr>
          <w:b/>
          <w:noProof/>
          <w:sz w:val="36"/>
        </w:rPr>
        <w:drawing>
          <wp:inline distT="0" distB="0" distL="0" distR="0">
            <wp:extent cx="5733415" cy="2758770"/>
            <wp:effectExtent l="19050" t="0" r="635"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733415" cy="2758770"/>
                    </a:xfrm>
                    <a:prstGeom prst="rect">
                      <a:avLst/>
                    </a:prstGeom>
                    <a:noFill/>
                    <a:ln w="9525">
                      <a:noFill/>
                      <a:miter lim="800000"/>
                      <a:headEnd/>
                      <a:tailEnd/>
                    </a:ln>
                  </pic:spPr>
                </pic:pic>
              </a:graphicData>
            </a:graphic>
          </wp:inline>
        </w:drawing>
      </w:r>
    </w:p>
    <w:p w:rsidR="001D2035" w:rsidRDefault="001D2035" w:rsidP="000539DA">
      <w:pPr>
        <w:spacing w:after="0" w:line="240" w:lineRule="auto"/>
        <w:rPr>
          <w:b/>
          <w:sz w:val="36"/>
        </w:rPr>
      </w:pP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19539D" w:rsidRPr="00477136" w:rsidRDefault="00C80948" w:rsidP="00C80948">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sidR="00811B3E">
        <w:rPr>
          <w:b/>
          <w:sz w:val="32"/>
          <w:szCs w:val="32"/>
          <w:u w:val="single"/>
        </w:rPr>
        <w:t>______________________________</w:t>
      </w:r>
      <w:r w:rsidRPr="00477136">
        <w:rPr>
          <w:b/>
          <w:sz w:val="32"/>
          <w:szCs w:val="32"/>
          <w:u w:val="single"/>
        </w:rPr>
        <w:t xml:space="preserve"> </w:t>
      </w:r>
    </w:p>
    <w:p w:rsidR="00811B3E" w:rsidRPr="00477136" w:rsidRDefault="00811B3E" w:rsidP="00811B3E">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423783" w:rsidRPr="00640F81" w:rsidRDefault="00640F81" w:rsidP="00423783">
      <w:pPr>
        <w:widowControl w:val="0"/>
        <w:numPr>
          <w:ilvl w:val="0"/>
          <w:numId w:val="2"/>
        </w:numPr>
        <w:overflowPunct w:val="0"/>
        <w:autoSpaceDE w:val="0"/>
        <w:autoSpaceDN w:val="0"/>
        <w:adjustRightInd w:val="0"/>
        <w:spacing w:after="0" w:line="240" w:lineRule="auto"/>
        <w:ind w:hanging="720"/>
        <w:jc w:val="both"/>
        <w:rPr>
          <w:rFonts w:ascii="Arial" w:hAnsi="Arial" w:cs="Arial"/>
          <w:b/>
          <w:bCs/>
          <w:sz w:val="36"/>
          <w:szCs w:val="36"/>
        </w:rPr>
      </w:pPr>
      <w:r w:rsidRPr="00640F81">
        <w:rPr>
          <w:rFonts w:ascii="Arial" w:hAnsi="Arial" w:cs="Arial"/>
          <w:b/>
          <w:bCs/>
          <w:sz w:val="36"/>
          <w:szCs w:val="36"/>
        </w:rPr>
        <w:t>CONSTRUCTION REHABILITATION / INSTALLATION OF NEW PUMPS @ LARKANA NORTH (SHAHMIR), LARKANA SOUTH (MASHORI) &amp; NAUDERO (MAHOTA) PUMPING STATIONS.</w:t>
      </w:r>
    </w:p>
    <w:p w:rsidR="00640F81" w:rsidRPr="00640F81" w:rsidRDefault="00640F81" w:rsidP="00640F81">
      <w:pPr>
        <w:widowControl w:val="0"/>
        <w:overflowPunct w:val="0"/>
        <w:autoSpaceDE w:val="0"/>
        <w:autoSpaceDN w:val="0"/>
        <w:adjustRightInd w:val="0"/>
        <w:spacing w:after="0" w:line="240" w:lineRule="auto"/>
        <w:ind w:left="720"/>
        <w:jc w:val="both"/>
        <w:rPr>
          <w:rFonts w:asciiTheme="minorBidi" w:hAnsiTheme="minorBidi"/>
          <w:b/>
          <w:bCs/>
          <w:sz w:val="28"/>
          <w:szCs w:val="28"/>
        </w:rPr>
      </w:pPr>
    </w:p>
    <w:p w:rsidR="00885B2C" w:rsidRPr="00622BD5" w:rsidRDefault="00885B2C" w:rsidP="00836E1D">
      <w:pPr>
        <w:widowControl w:val="0"/>
        <w:overflowPunct w:val="0"/>
        <w:autoSpaceDE w:val="0"/>
        <w:autoSpaceDN w:val="0"/>
        <w:adjustRightInd w:val="0"/>
        <w:spacing w:after="0" w:line="240" w:lineRule="auto"/>
        <w:ind w:left="720"/>
        <w:jc w:val="both"/>
        <w:rPr>
          <w:sz w:val="24"/>
        </w:rPr>
      </w:pPr>
      <w:r w:rsidRPr="00622BD5">
        <w:rPr>
          <w:sz w:val="24"/>
        </w:rPr>
        <w:t xml:space="preserve">(a)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autoSpaceDE w:val="0"/>
        <w:autoSpaceDN w:val="0"/>
        <w:adjustRightInd w:val="0"/>
        <w:spacing w:line="365" w:lineRule="exact"/>
        <w:rPr>
          <w:sz w:val="24"/>
          <w:szCs w:val="24"/>
        </w:rPr>
      </w:pP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t xml:space="preserve">One original plus     </w:t>
      </w:r>
      <w:r w:rsidRPr="00CD5F96">
        <w:rPr>
          <w:b/>
          <w:u w:val="single"/>
        </w:rPr>
        <w:t>2</w:t>
      </w:r>
      <w:r w:rsidRPr="00CD5F96">
        <w:rPr>
          <w:b/>
        </w:rPr>
        <w:t xml:space="preserve"> </w:t>
      </w:r>
      <w:r>
        <w:t xml:space="preserve">   copies.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C46261">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sidR="00C46261">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(insert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C46261">
      <w:pPr>
        <w:widowControl w:val="0"/>
        <w:autoSpaceDE w:val="0"/>
        <w:autoSpaceDN w:val="0"/>
        <w:adjustRightInd w:val="0"/>
        <w:ind w:left="840"/>
        <w:rPr>
          <w:b/>
        </w:rPr>
      </w:pPr>
      <w:r>
        <w:tab/>
      </w:r>
      <w:r w:rsidRPr="0027446F">
        <w:rPr>
          <w:b/>
        </w:rPr>
        <w:t xml:space="preserve">Time:  </w:t>
      </w:r>
      <w:r>
        <w:rPr>
          <w:b/>
        </w:rPr>
        <w:t>5</w:t>
      </w:r>
      <w:r w:rsidRPr="0027446F">
        <w:rPr>
          <w:b/>
        </w:rPr>
        <w:t xml:space="preserve">.00 PM on </w:t>
      </w:r>
      <w:r w:rsidR="00C46261">
        <w:rPr>
          <w:b/>
        </w:rPr>
        <w:t>10</w:t>
      </w:r>
      <w:r w:rsidRPr="0027446F">
        <w:rPr>
          <w:b/>
        </w:rPr>
        <w:t xml:space="preserve">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C46261">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sidR="00C46261">
        <w:rPr>
          <w:b/>
          <w:bCs/>
        </w:rPr>
        <w:t>11</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423783" w:rsidRDefault="00423783" w:rsidP="00885B2C">
      <w:pPr>
        <w:widowControl w:val="0"/>
        <w:autoSpaceDE w:val="0"/>
        <w:autoSpaceDN w:val="0"/>
        <w:adjustRightInd w:val="0"/>
        <w:spacing w:line="200" w:lineRule="exact"/>
      </w:pP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p w:rsidR="00FC704B" w:rsidRDefault="00FC704B"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907859" w:rsidRPr="00CC09C0" w:rsidRDefault="00027C69" w:rsidP="00444924">
      <w:pPr>
        <w:widowControl w:val="0"/>
        <w:autoSpaceDE w:val="0"/>
        <w:autoSpaceDN w:val="0"/>
        <w:adjustRightInd w:val="0"/>
        <w:spacing w:line="20" w:lineRule="exact"/>
        <w:rPr>
          <w:b/>
          <w:sz w:val="45"/>
          <w:szCs w:val="23"/>
        </w:rPr>
      </w:pPr>
      <w:r w:rsidRPr="00027C69">
        <w:rPr>
          <w:noProof/>
        </w:rPr>
        <w:pict>
          <v:line id="_x0000_s1029" style="position:absolute;z-index:-251648000;mso-position-horizontal-relative:text;mso-position-vertical-relative:text" from="425.85pt,1.9pt" to="473.85pt,1.9pt" o:allowincell="f" strokecolor="#943634" strokeweight="3.6pt"/>
        </w:pict>
      </w: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10C1F"/>
    <w:rsid w:val="000149D8"/>
    <w:rsid w:val="00017E93"/>
    <w:rsid w:val="00027C69"/>
    <w:rsid w:val="00033866"/>
    <w:rsid w:val="000539DA"/>
    <w:rsid w:val="000B3287"/>
    <w:rsid w:val="00102E1C"/>
    <w:rsid w:val="00165AA5"/>
    <w:rsid w:val="00167471"/>
    <w:rsid w:val="0019539D"/>
    <w:rsid w:val="001D2035"/>
    <w:rsid w:val="001D23BB"/>
    <w:rsid w:val="0027418F"/>
    <w:rsid w:val="00286AC2"/>
    <w:rsid w:val="002C4AAE"/>
    <w:rsid w:val="002E5FF1"/>
    <w:rsid w:val="00322D8D"/>
    <w:rsid w:val="0036339F"/>
    <w:rsid w:val="003D60AF"/>
    <w:rsid w:val="00403607"/>
    <w:rsid w:val="00412C7C"/>
    <w:rsid w:val="00423783"/>
    <w:rsid w:val="0043363A"/>
    <w:rsid w:val="00444924"/>
    <w:rsid w:val="00477136"/>
    <w:rsid w:val="004E016A"/>
    <w:rsid w:val="00546E48"/>
    <w:rsid w:val="0055394B"/>
    <w:rsid w:val="005626B8"/>
    <w:rsid w:val="00563E46"/>
    <w:rsid w:val="005A36EE"/>
    <w:rsid w:val="005C26F5"/>
    <w:rsid w:val="005C27E8"/>
    <w:rsid w:val="00602DC6"/>
    <w:rsid w:val="00614FEF"/>
    <w:rsid w:val="00640F81"/>
    <w:rsid w:val="00672783"/>
    <w:rsid w:val="006777A4"/>
    <w:rsid w:val="00696166"/>
    <w:rsid w:val="007A7D65"/>
    <w:rsid w:val="007B3266"/>
    <w:rsid w:val="007D22FF"/>
    <w:rsid w:val="00801C11"/>
    <w:rsid w:val="00806695"/>
    <w:rsid w:val="00811B3E"/>
    <w:rsid w:val="00836E1D"/>
    <w:rsid w:val="00885B2C"/>
    <w:rsid w:val="008A71DE"/>
    <w:rsid w:val="008D2C64"/>
    <w:rsid w:val="008E680A"/>
    <w:rsid w:val="00907859"/>
    <w:rsid w:val="009D5776"/>
    <w:rsid w:val="009E6D47"/>
    <w:rsid w:val="00A0509E"/>
    <w:rsid w:val="00A14B32"/>
    <w:rsid w:val="00A15F1B"/>
    <w:rsid w:val="00A63B4F"/>
    <w:rsid w:val="00A83828"/>
    <w:rsid w:val="00A858BB"/>
    <w:rsid w:val="00AD7B29"/>
    <w:rsid w:val="00B13A93"/>
    <w:rsid w:val="00B14AFA"/>
    <w:rsid w:val="00B321BF"/>
    <w:rsid w:val="00BD3F7F"/>
    <w:rsid w:val="00BF0FE2"/>
    <w:rsid w:val="00C30246"/>
    <w:rsid w:val="00C335D6"/>
    <w:rsid w:val="00C46261"/>
    <w:rsid w:val="00C80948"/>
    <w:rsid w:val="00C90563"/>
    <w:rsid w:val="00CA3637"/>
    <w:rsid w:val="00CC09C0"/>
    <w:rsid w:val="00CE20FA"/>
    <w:rsid w:val="00D44E3D"/>
    <w:rsid w:val="00D80291"/>
    <w:rsid w:val="00D93D80"/>
    <w:rsid w:val="00DA52F9"/>
    <w:rsid w:val="00DF3A48"/>
    <w:rsid w:val="00DF74F5"/>
    <w:rsid w:val="00E33AE8"/>
    <w:rsid w:val="00E65EE8"/>
    <w:rsid w:val="00E703FA"/>
    <w:rsid w:val="00E71CB8"/>
    <w:rsid w:val="00E80A5A"/>
    <w:rsid w:val="00EC1939"/>
    <w:rsid w:val="00EC47A5"/>
    <w:rsid w:val="00ED12D8"/>
    <w:rsid w:val="00F14353"/>
    <w:rsid w:val="00F14965"/>
    <w:rsid w:val="00F154F5"/>
    <w:rsid w:val="00F870A5"/>
    <w:rsid w:val="00FA07AB"/>
    <w:rsid w:val="00FB3D24"/>
    <w:rsid w:val="00FC704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Pages>
  <Words>549</Words>
  <Characters>3134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79</cp:revision>
  <cp:lastPrinted>2015-03-23T05:23:00Z</cp:lastPrinted>
  <dcterms:created xsi:type="dcterms:W3CDTF">2014-01-09T13:42:00Z</dcterms:created>
  <dcterms:modified xsi:type="dcterms:W3CDTF">2015-03-23T05:23:00Z</dcterms:modified>
</cp:coreProperties>
</file>